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F9D" w:rsidRPr="0002089F" w:rsidRDefault="00755F9D" w:rsidP="00D15142">
      <w:pPr>
        <w:spacing w:before="120" w:after="120" w:line="240" w:lineRule="auto"/>
        <w:jc w:val="center"/>
        <w:rPr>
          <w:rFonts w:ascii="Times New Roman" w:hAnsi="Times New Roman"/>
          <w:b/>
          <w:sz w:val="24"/>
          <w:szCs w:val="24"/>
        </w:rPr>
      </w:pPr>
      <w:r w:rsidRPr="0002089F">
        <w:rPr>
          <w:rFonts w:ascii="Times New Roman" w:hAnsi="Times New Roman"/>
          <w:b/>
          <w:sz w:val="24"/>
          <w:szCs w:val="24"/>
        </w:rPr>
        <w:t>BİRİNCİ BÖLÜM</w:t>
      </w:r>
    </w:p>
    <w:p w:rsidR="00755F9D" w:rsidRPr="0002089F" w:rsidRDefault="00755F9D" w:rsidP="00D15142">
      <w:pPr>
        <w:spacing w:before="120" w:after="120" w:line="240" w:lineRule="auto"/>
        <w:jc w:val="center"/>
        <w:rPr>
          <w:rFonts w:ascii="Times New Roman" w:hAnsi="Times New Roman"/>
          <w:b/>
          <w:sz w:val="24"/>
          <w:szCs w:val="24"/>
        </w:rPr>
      </w:pPr>
      <w:r w:rsidRPr="0002089F">
        <w:rPr>
          <w:rFonts w:ascii="Times New Roman" w:hAnsi="Times New Roman"/>
          <w:b/>
          <w:sz w:val="24"/>
          <w:szCs w:val="24"/>
        </w:rPr>
        <w:t>Başlangıç Hükümleri</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Amaç</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1 –</w:t>
      </w:r>
      <w:r w:rsidRPr="0002089F">
        <w:rPr>
          <w:rFonts w:ascii="Times New Roman" w:hAnsi="Times New Roman"/>
          <w:sz w:val="24"/>
          <w:szCs w:val="24"/>
        </w:rPr>
        <w:t xml:space="preserve"> (1) Bu Politikanın amacı, Batman Üniversitesi kütüphanelerinde kullanılacak bilgi kaynaklarının satın alma ve abonelik yoluyla sağlanmasına ilişkin usul ve esasları düzenlemektir.</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Kapsam</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2 –</w:t>
      </w:r>
      <w:r w:rsidRPr="0002089F">
        <w:rPr>
          <w:rFonts w:ascii="Times New Roman" w:hAnsi="Times New Roman"/>
          <w:sz w:val="24"/>
          <w:szCs w:val="24"/>
        </w:rPr>
        <w:t xml:space="preserve"> (1) Bu Politika, Batman Üniversitesi akademik ve idari personeli ile öğrencileri tarafından talep edilen basılı ve elektronik kitaplar, süreli yayınlar, veri tabanları, multimedya materyalleri ve benzeri bilgi kaynaklarının seçim, değerlendirme, satın alma, abonelik, yenileme ve iptal süreçlerini kapsar.</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Dayanak</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3 –</w:t>
      </w:r>
      <w:r w:rsidRPr="0002089F">
        <w:rPr>
          <w:rFonts w:ascii="Times New Roman" w:hAnsi="Times New Roman"/>
          <w:sz w:val="24"/>
          <w:szCs w:val="24"/>
        </w:rPr>
        <w:t xml:space="preserve"> (1) Bu Politika, </w:t>
      </w:r>
      <w:r w:rsidRPr="00500C78">
        <w:rPr>
          <w:rFonts w:ascii="Times New Roman" w:hAnsi="Times New Roman"/>
          <w:sz w:val="24"/>
          <w:szCs w:val="24"/>
        </w:rPr>
        <w:t>2547 sayılı Yükseköğretim Kanunu; 2809 sayılı Kanun ve 124 sayılı KHK’nın 26 ve 33. maddeleri; 5018 sayılı Kamu Mali Yönetimi ve Kontrol Kanunu; 4734 sayılı Kamu İhale Kanunu; 4735 sayılı Kamu İhale Sözleşmeleri Kanunu; Batman Üniversitesi Kütüphane Hizmetleri Yönergesi</w:t>
      </w:r>
      <w:r>
        <w:rPr>
          <w:rFonts w:ascii="Times New Roman" w:hAnsi="Times New Roman"/>
          <w:sz w:val="24"/>
          <w:szCs w:val="24"/>
        </w:rPr>
        <w:t xml:space="preserve">ne </w:t>
      </w:r>
      <w:r w:rsidRPr="0002089F">
        <w:rPr>
          <w:rFonts w:ascii="Times New Roman" w:hAnsi="Times New Roman"/>
          <w:sz w:val="24"/>
          <w:szCs w:val="24"/>
        </w:rPr>
        <w:t>dayanılarak hazırlanmıştır.</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Tanımlar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4 –</w:t>
      </w:r>
      <w:r w:rsidRPr="0002089F">
        <w:rPr>
          <w:rFonts w:ascii="Times New Roman" w:hAnsi="Times New Roman"/>
          <w:sz w:val="24"/>
          <w:szCs w:val="24"/>
        </w:rPr>
        <w:t xml:space="preserve"> (1) Bu Politikada geçen terimlerden:</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a) Kullanıcı Talebi: Akademik veya idari personel ile öğrencilerin kütüphane otomasyon sistemi üzerinden kaynak talebinde bulunmasını,</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b) Yönetim Kurulu Kararı: Fakülte, yüksekokul veya meslek yüksekokulu yönetim kurulu tarafından alınan uygunluk kararını,</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c) Amir Onayı: İdari birim personeli tarafından yapılan taleplerin bağlı bulunulan birim amiri tarafından onaylandığını gösteren yazıyı,</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ç) Kütüphane Danışma Kurulu: Kullanıcı taleplerini inceleyip görüş bildiren kurulu,</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d) Rektörlük Oluru: Kaynak sağlama işlemlerinde nihai onay sürecini, ifade eder.</w:t>
      </w:r>
    </w:p>
    <w:p w:rsidR="00755F9D" w:rsidRPr="0002089F" w:rsidRDefault="00755F9D" w:rsidP="00D15142">
      <w:pPr>
        <w:spacing w:before="120" w:after="120" w:line="240" w:lineRule="auto"/>
        <w:jc w:val="center"/>
        <w:rPr>
          <w:rFonts w:ascii="Times New Roman" w:hAnsi="Times New Roman"/>
          <w:b/>
          <w:sz w:val="24"/>
          <w:szCs w:val="24"/>
        </w:rPr>
      </w:pPr>
      <w:r w:rsidRPr="0002089F">
        <w:rPr>
          <w:rFonts w:ascii="Times New Roman" w:hAnsi="Times New Roman"/>
          <w:b/>
          <w:sz w:val="24"/>
          <w:szCs w:val="24"/>
        </w:rPr>
        <w:t>İKİNCİ BÖLÜM</w:t>
      </w:r>
    </w:p>
    <w:p w:rsidR="00755F9D" w:rsidRPr="0002089F" w:rsidRDefault="00755F9D" w:rsidP="00D15142">
      <w:pPr>
        <w:spacing w:before="120" w:after="120" w:line="240" w:lineRule="auto"/>
        <w:jc w:val="center"/>
        <w:rPr>
          <w:rFonts w:ascii="Times New Roman" w:hAnsi="Times New Roman"/>
          <w:b/>
          <w:sz w:val="24"/>
          <w:szCs w:val="24"/>
        </w:rPr>
      </w:pPr>
      <w:r w:rsidRPr="0002089F">
        <w:rPr>
          <w:rFonts w:ascii="Times New Roman" w:hAnsi="Times New Roman"/>
          <w:b/>
          <w:sz w:val="24"/>
          <w:szCs w:val="24"/>
        </w:rPr>
        <w:t>Esas Hükümler</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Kullanıcı Talep Süreci</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5 –</w:t>
      </w:r>
      <w:r w:rsidRPr="0002089F">
        <w:rPr>
          <w:rFonts w:ascii="Times New Roman" w:hAnsi="Times New Roman"/>
          <w:sz w:val="24"/>
          <w:szCs w:val="24"/>
        </w:rPr>
        <w:t xml:space="preserve"> (1) Kullanıcılar, kütüphane otomasyon sistemi üzerinden taleplerini eksiksiz ve hatasız biçimde doldurur.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(2) Akademik personel talepleri, ilgili birim yönetim kurulu kararı ile birlikte sunulur.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(3) İdari personel talepleri, bağlı bulundukları birim amiri onayı ile iletilir.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(4) Öğrenci talepleri, ilgili akademik birimin görüşü alınarak işleme konulur.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(5) Yönetim kurulu kararı ve amir uygunluk yazısı ibraz edilmeyen talepler değerlendirmeye alınmaz.</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Değerlendirme ve Onay</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6 –</w:t>
      </w:r>
      <w:r w:rsidRPr="0002089F">
        <w:rPr>
          <w:rFonts w:ascii="Times New Roman" w:hAnsi="Times New Roman"/>
          <w:sz w:val="24"/>
          <w:szCs w:val="24"/>
        </w:rPr>
        <w:t xml:space="preserve"> (1) Kullanıcı talepleri toplandıktan sonra Kütüphane Danışma Kurulu tarafından incelenir.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lastRenderedPageBreak/>
        <w:t>(2) Kurul, bütçe imkânları, akademik ihtiyaçlar ve koleksiyon politikaları çerçevesinde uygun gördüğü talepleri belirler.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(3) Kurul tarafından uygun bulunan talepler, Rektörlük Oluruna sunulur.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(4) Rektörlük onayından geçen kaynakların satın alma ve abonelik işlemleri başlatılır.</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Satın Alma ve Abonelik İlkeleri</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7 –</w:t>
      </w:r>
      <w:r w:rsidRPr="0002089F">
        <w:rPr>
          <w:rFonts w:ascii="Times New Roman" w:hAnsi="Times New Roman"/>
          <w:sz w:val="24"/>
          <w:szCs w:val="24"/>
        </w:rPr>
        <w:t xml:space="preserve"> (1) Kaynak seçiminde aşağıdaki hususlar esas alınır: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a) Üniversitenin akademik programlarına ve araştırma önceliklerine uygunluk,</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b) Bilimsel değer ve güncellik,</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c) Fiyat-performans ve bütçe dengesi,</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ç) Kullanıcı taleplerinin yoğunluğu,</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d) Elektronik kaynaklarda lisans ve erişim haklarının uygunluğu.</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Aboneliklerin Yenilenmesi ve İptali</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8 –</w:t>
      </w:r>
      <w:r w:rsidRPr="0002089F">
        <w:rPr>
          <w:rFonts w:ascii="Times New Roman" w:hAnsi="Times New Roman"/>
          <w:sz w:val="24"/>
          <w:szCs w:val="24"/>
        </w:rPr>
        <w:t xml:space="preserve"> (1) Süreli yayın ve veri tabanı abonelikleri yıllık olarak kullanım istatistikleri ve maliyet-etkinlik kriterlerine göre değerlendirilir.</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(2) Kullanımı düşük, güncelliğini yitirmiş veya maliyet açısından sürdürülemez abonelikler iptal edilebilir.</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Ayıklama ve Güncelleme</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9 –</w:t>
      </w:r>
      <w:r w:rsidRPr="0002089F">
        <w:rPr>
          <w:rFonts w:ascii="Times New Roman" w:hAnsi="Times New Roman"/>
          <w:sz w:val="24"/>
          <w:szCs w:val="24"/>
        </w:rPr>
        <w:t xml:space="preserve"> (1) Fiziksel durumu bozulmuş, güncelliğini yitirmiş veya mükerrer kaynaklar koleksiyondan çıkarılır.</w:t>
      </w:r>
    </w:p>
    <w:p w:rsidR="00755F9D" w:rsidRDefault="00755F9D" w:rsidP="00D15142">
      <w:pPr>
        <w:spacing w:before="120" w:after="120" w:line="240" w:lineRule="auto"/>
        <w:jc w:val="both"/>
        <w:rPr>
          <w:rFonts w:ascii="Times New Roman" w:hAnsi="Times New Roman"/>
          <w:sz w:val="24"/>
          <w:szCs w:val="24"/>
        </w:rPr>
      </w:pPr>
      <w:r w:rsidRPr="0002089F">
        <w:rPr>
          <w:rFonts w:ascii="Times New Roman" w:hAnsi="Times New Roman"/>
          <w:sz w:val="24"/>
          <w:szCs w:val="24"/>
        </w:rPr>
        <w:t>(2) Ayıklanan kaynaklar, bağış politikası hükümleri doğrultusunda başka kurumlara devredilebilir veya mevzuata uygun biçimde elden çıkarılır.</w:t>
      </w:r>
    </w:p>
    <w:p w:rsidR="00755F9D" w:rsidRDefault="00755F9D" w:rsidP="00D15142">
      <w:pPr>
        <w:spacing w:before="120" w:after="120" w:line="240" w:lineRule="auto"/>
        <w:jc w:val="both"/>
        <w:rPr>
          <w:rFonts w:ascii="Times New Roman" w:hAnsi="Times New Roman"/>
          <w:sz w:val="24"/>
          <w:szCs w:val="24"/>
        </w:rPr>
      </w:pPr>
    </w:p>
    <w:p w:rsidR="00755F9D" w:rsidRDefault="00755F9D" w:rsidP="00D15142">
      <w:pPr>
        <w:spacing w:before="120" w:after="120" w:line="240" w:lineRule="auto"/>
        <w:jc w:val="both"/>
        <w:rPr>
          <w:rFonts w:ascii="Times New Roman" w:hAnsi="Times New Roman"/>
          <w:sz w:val="24"/>
          <w:szCs w:val="24"/>
        </w:rPr>
      </w:pPr>
    </w:p>
    <w:p w:rsidR="00755F9D" w:rsidRPr="0002089F" w:rsidRDefault="00755F9D" w:rsidP="00D15142">
      <w:pPr>
        <w:spacing w:before="120" w:after="120" w:line="240" w:lineRule="auto"/>
        <w:jc w:val="both"/>
        <w:rPr>
          <w:rFonts w:ascii="Times New Roman" w:hAnsi="Times New Roman"/>
          <w:sz w:val="24"/>
          <w:szCs w:val="24"/>
        </w:rPr>
      </w:pPr>
    </w:p>
    <w:p w:rsidR="00755F9D" w:rsidRPr="0002089F" w:rsidRDefault="00755F9D" w:rsidP="00D15142">
      <w:pPr>
        <w:spacing w:before="120" w:after="120" w:line="240" w:lineRule="auto"/>
        <w:jc w:val="center"/>
        <w:rPr>
          <w:rFonts w:ascii="Times New Roman" w:hAnsi="Times New Roman"/>
          <w:b/>
          <w:sz w:val="24"/>
          <w:szCs w:val="24"/>
        </w:rPr>
      </w:pPr>
      <w:r w:rsidRPr="0002089F">
        <w:rPr>
          <w:rFonts w:ascii="Times New Roman" w:hAnsi="Times New Roman"/>
          <w:b/>
          <w:sz w:val="24"/>
          <w:szCs w:val="24"/>
        </w:rPr>
        <w:t>ÜÇÜNCÜ BÖLÜM</w:t>
      </w:r>
    </w:p>
    <w:p w:rsidR="00755F9D" w:rsidRPr="0002089F" w:rsidRDefault="00755F9D" w:rsidP="00D15142">
      <w:pPr>
        <w:spacing w:before="120" w:after="120" w:line="240" w:lineRule="auto"/>
        <w:jc w:val="center"/>
        <w:rPr>
          <w:rFonts w:ascii="Times New Roman" w:hAnsi="Times New Roman"/>
          <w:b/>
          <w:sz w:val="24"/>
          <w:szCs w:val="24"/>
        </w:rPr>
      </w:pPr>
      <w:r w:rsidRPr="0002089F">
        <w:rPr>
          <w:rFonts w:ascii="Times New Roman" w:hAnsi="Times New Roman"/>
          <w:b/>
          <w:sz w:val="24"/>
          <w:szCs w:val="24"/>
        </w:rPr>
        <w:t>Çeşitli ve Son Hükümler</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Yürürlük</w:t>
      </w:r>
    </w:p>
    <w:p w:rsidR="00755F9D" w:rsidRPr="0002089F" w:rsidRDefault="00755F9D" w:rsidP="00D15142">
      <w:pPr>
        <w:spacing w:before="120" w:after="120" w:line="240" w:lineRule="auto"/>
        <w:jc w:val="both"/>
        <w:rPr>
          <w:rFonts w:ascii="Times New Roman" w:hAnsi="Times New Roman"/>
          <w:sz w:val="24"/>
          <w:szCs w:val="24"/>
        </w:rPr>
      </w:pPr>
      <w:r w:rsidRPr="0002089F">
        <w:rPr>
          <w:rFonts w:ascii="Times New Roman" w:hAnsi="Times New Roman"/>
          <w:b/>
          <w:sz w:val="24"/>
          <w:szCs w:val="24"/>
        </w:rPr>
        <w:t>MADDE 10 –</w:t>
      </w:r>
      <w:r w:rsidRPr="0002089F">
        <w:rPr>
          <w:rFonts w:ascii="Times New Roman" w:hAnsi="Times New Roman"/>
          <w:sz w:val="24"/>
          <w:szCs w:val="24"/>
        </w:rPr>
        <w:t xml:space="preserve"> </w:t>
      </w:r>
      <w:r w:rsidRPr="008245DF">
        <w:rPr>
          <w:rFonts w:ascii="Times New Roman" w:hAnsi="Times New Roman"/>
          <w:sz w:val="24"/>
        </w:rPr>
        <w:t>(1)</w:t>
      </w:r>
      <w:r w:rsidRPr="008245DF">
        <w:rPr>
          <w:rFonts w:ascii="Times New Roman" w:hAnsi="Times New Roman"/>
          <w:b/>
          <w:sz w:val="24"/>
        </w:rPr>
        <w:t xml:space="preserve"> </w:t>
      </w:r>
      <w:r w:rsidRPr="00113398">
        <w:rPr>
          <w:rFonts w:ascii="Times New Roman" w:hAnsi="Times New Roman"/>
          <w:sz w:val="24"/>
        </w:rPr>
        <w:t>Bu Politika, Batman Üniversitesi Kütüphane ve Dokümantasyon Daire Başkanlığı tarafından yayımlandığı tarihte yürürlüğe girer.</w:t>
      </w:r>
    </w:p>
    <w:p w:rsidR="00755F9D" w:rsidRPr="0002089F" w:rsidRDefault="00755F9D" w:rsidP="00D15142">
      <w:pPr>
        <w:spacing w:before="120" w:after="120" w:line="240" w:lineRule="auto"/>
        <w:jc w:val="both"/>
        <w:rPr>
          <w:rFonts w:ascii="Times New Roman" w:hAnsi="Times New Roman"/>
          <w:b/>
          <w:sz w:val="24"/>
          <w:szCs w:val="24"/>
        </w:rPr>
      </w:pPr>
      <w:r w:rsidRPr="0002089F">
        <w:rPr>
          <w:rFonts w:ascii="Times New Roman" w:hAnsi="Times New Roman"/>
          <w:b/>
          <w:sz w:val="24"/>
          <w:szCs w:val="24"/>
        </w:rPr>
        <w:t>Yürütme</w:t>
      </w:r>
    </w:p>
    <w:p w:rsidR="00755F9D" w:rsidRPr="008245DF" w:rsidRDefault="00755F9D" w:rsidP="00D15142">
      <w:pPr>
        <w:spacing w:before="120" w:after="120" w:line="240" w:lineRule="auto"/>
        <w:jc w:val="both"/>
        <w:rPr>
          <w:rFonts w:ascii="Times New Roman" w:hAnsi="Times New Roman"/>
          <w:sz w:val="24"/>
        </w:rPr>
      </w:pPr>
      <w:r w:rsidRPr="0002089F">
        <w:rPr>
          <w:rFonts w:ascii="Times New Roman" w:hAnsi="Times New Roman"/>
          <w:b/>
          <w:sz w:val="24"/>
          <w:szCs w:val="24"/>
        </w:rPr>
        <w:t>MADDE 11 –</w:t>
      </w:r>
      <w:r w:rsidRPr="0002089F">
        <w:rPr>
          <w:rFonts w:ascii="Times New Roman" w:hAnsi="Times New Roman"/>
          <w:sz w:val="24"/>
          <w:szCs w:val="24"/>
        </w:rPr>
        <w:t xml:space="preserve"> </w:t>
      </w:r>
      <w:r w:rsidRPr="008245DF">
        <w:rPr>
          <w:rFonts w:ascii="Times New Roman" w:hAnsi="Times New Roman"/>
          <w:sz w:val="24"/>
        </w:rPr>
        <w:t>(1)</w:t>
      </w:r>
      <w:r w:rsidRPr="008245DF">
        <w:rPr>
          <w:rFonts w:ascii="Times New Roman" w:hAnsi="Times New Roman"/>
          <w:b/>
          <w:sz w:val="24"/>
        </w:rPr>
        <w:t xml:space="preserve"> </w:t>
      </w:r>
      <w:r w:rsidRPr="008245DF">
        <w:rPr>
          <w:rFonts w:ascii="Times New Roman" w:hAnsi="Times New Roman"/>
          <w:sz w:val="24"/>
        </w:rPr>
        <w:t xml:space="preserve">Bu Politika hükümlerini Batman Üniversitesi </w:t>
      </w:r>
      <w:r>
        <w:rPr>
          <w:rFonts w:ascii="Times New Roman" w:hAnsi="Times New Roman"/>
          <w:sz w:val="24"/>
        </w:rPr>
        <w:t>Kütüphane ve Dokümantasyon Daire Başkanı</w:t>
      </w:r>
      <w:r w:rsidRPr="008245DF">
        <w:rPr>
          <w:rFonts w:ascii="Times New Roman" w:hAnsi="Times New Roman"/>
          <w:sz w:val="24"/>
        </w:rPr>
        <w:t xml:space="preserve"> yürütür.</w:t>
      </w:r>
    </w:p>
    <w:p w:rsidR="00755F9D" w:rsidRPr="0002089F" w:rsidRDefault="00755F9D" w:rsidP="00D15142">
      <w:pPr>
        <w:spacing w:before="120" w:after="120" w:line="240" w:lineRule="auto"/>
        <w:jc w:val="both"/>
        <w:rPr>
          <w:rFonts w:ascii="Times New Roman" w:hAnsi="Times New Roman"/>
          <w:sz w:val="24"/>
          <w:szCs w:val="24"/>
        </w:rPr>
      </w:pPr>
    </w:p>
    <w:p w:rsidR="00126BF5" w:rsidRPr="00755F9D" w:rsidRDefault="00126BF5" w:rsidP="00D15142">
      <w:pPr>
        <w:spacing w:before="120" w:after="120" w:line="240" w:lineRule="auto"/>
      </w:pPr>
    </w:p>
    <w:sectPr w:rsidR="00126BF5" w:rsidRPr="00755F9D" w:rsidSect="002F7323">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4A8" w:rsidRDefault="00FD64A8" w:rsidP="004B3CFE">
      <w:pPr>
        <w:spacing w:after="0" w:line="240" w:lineRule="auto"/>
      </w:pPr>
      <w:r>
        <w:separator/>
      </w:r>
    </w:p>
  </w:endnote>
  <w:endnote w:type="continuationSeparator" w:id="0">
    <w:p w:rsidR="00FD64A8" w:rsidRDefault="00FD64A8" w:rsidP="004B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142" w:rsidRDefault="00D15142">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7"/>
      <w:gridCol w:w="3586"/>
    </w:tblGrid>
    <w:tr w:rsidR="003F59FC" w:rsidRPr="002F7323" w:rsidTr="002F7323">
      <w:trPr>
        <w:trHeight w:val="747"/>
      </w:trPr>
      <w:tc>
        <w:tcPr>
          <w:tcW w:w="1667" w:type="pct"/>
          <w:shd w:val="clear" w:color="auto" w:fill="auto"/>
        </w:tcPr>
        <w:p w:rsidR="003F59FC" w:rsidRPr="002F7323" w:rsidRDefault="003F59FC" w:rsidP="002F7323">
          <w:pPr>
            <w:tabs>
              <w:tab w:val="center" w:pos="4536"/>
              <w:tab w:val="right" w:pos="9072"/>
            </w:tabs>
            <w:spacing w:after="0" w:line="240" w:lineRule="auto"/>
            <w:jc w:val="center"/>
            <w:rPr>
              <w:rFonts w:ascii="Times New Roman" w:eastAsia="Times New Roman" w:hAnsi="Times New Roman"/>
              <w:b/>
              <w:sz w:val="20"/>
              <w:lang w:eastAsia="tr-TR"/>
            </w:rPr>
          </w:pPr>
          <w:r w:rsidRPr="002F7323">
            <w:rPr>
              <w:rFonts w:ascii="Times New Roman" w:eastAsia="Times New Roman" w:hAnsi="Times New Roman"/>
              <w:b/>
              <w:sz w:val="20"/>
              <w:lang w:eastAsia="tr-TR"/>
            </w:rPr>
            <w:t>HAZIRLAYAN</w:t>
          </w:r>
        </w:p>
      </w:tc>
      <w:tc>
        <w:tcPr>
          <w:tcW w:w="1666" w:type="pct"/>
          <w:shd w:val="clear" w:color="auto" w:fill="auto"/>
        </w:tcPr>
        <w:p w:rsidR="003F59FC" w:rsidRPr="002F7323" w:rsidRDefault="003F59FC" w:rsidP="002F7323">
          <w:pPr>
            <w:tabs>
              <w:tab w:val="center" w:pos="4536"/>
              <w:tab w:val="right" w:pos="9072"/>
            </w:tabs>
            <w:spacing w:after="0" w:line="240" w:lineRule="auto"/>
            <w:jc w:val="center"/>
            <w:rPr>
              <w:rFonts w:ascii="Times New Roman" w:eastAsia="Times New Roman" w:hAnsi="Times New Roman"/>
              <w:b/>
              <w:sz w:val="20"/>
              <w:lang w:eastAsia="tr-TR"/>
            </w:rPr>
          </w:pPr>
          <w:r w:rsidRPr="002F7323">
            <w:rPr>
              <w:rFonts w:ascii="Times New Roman" w:eastAsia="Times New Roman" w:hAnsi="Times New Roman"/>
              <w:b/>
              <w:sz w:val="20"/>
              <w:lang w:eastAsia="tr-TR"/>
            </w:rPr>
            <w:t>KONTROL EDEN</w:t>
          </w:r>
        </w:p>
      </w:tc>
      <w:tc>
        <w:tcPr>
          <w:tcW w:w="1666" w:type="pct"/>
          <w:shd w:val="clear" w:color="auto" w:fill="auto"/>
        </w:tcPr>
        <w:p w:rsidR="003F59FC" w:rsidRPr="002F7323" w:rsidRDefault="003F59FC" w:rsidP="002F7323">
          <w:pPr>
            <w:tabs>
              <w:tab w:val="center" w:pos="4536"/>
              <w:tab w:val="right" w:pos="9072"/>
            </w:tabs>
            <w:spacing w:after="0" w:line="240" w:lineRule="auto"/>
            <w:jc w:val="center"/>
            <w:rPr>
              <w:rFonts w:ascii="Times New Roman" w:eastAsia="Times New Roman" w:hAnsi="Times New Roman"/>
              <w:b/>
              <w:sz w:val="20"/>
              <w:lang w:eastAsia="tr-TR"/>
            </w:rPr>
          </w:pPr>
          <w:r w:rsidRPr="002F7323">
            <w:rPr>
              <w:rFonts w:ascii="Times New Roman" w:eastAsia="Times New Roman" w:hAnsi="Times New Roman"/>
              <w:b/>
              <w:sz w:val="20"/>
              <w:lang w:eastAsia="tr-TR"/>
            </w:rPr>
            <w:t>ONAYLAYAN</w:t>
          </w:r>
        </w:p>
      </w:tc>
    </w:tr>
  </w:tbl>
  <w:p w:rsidR="003332C0" w:rsidRDefault="003332C0" w:rsidP="004C7EEF">
    <w:pPr>
      <w:pStyle w:val="Altbilgi"/>
      <w:spacing w:after="0" w:line="240"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142" w:rsidRDefault="00D15142">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4A8" w:rsidRDefault="00FD64A8" w:rsidP="004B3CFE">
      <w:pPr>
        <w:spacing w:after="0" w:line="240" w:lineRule="auto"/>
      </w:pPr>
      <w:r>
        <w:separator/>
      </w:r>
    </w:p>
  </w:footnote>
  <w:footnote w:type="continuationSeparator" w:id="0">
    <w:p w:rsidR="00FD64A8" w:rsidRDefault="00FD64A8" w:rsidP="004B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142" w:rsidRDefault="00D15142">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3"/>
      <w:gridCol w:w="5203"/>
      <w:gridCol w:w="1794"/>
      <w:gridCol w:w="409"/>
      <w:gridCol w:w="1483"/>
    </w:tblGrid>
    <w:tr w:rsidR="002F7323" w:rsidRPr="002F7323" w:rsidTr="002F7323">
      <w:trPr>
        <w:trHeight w:val="283"/>
      </w:trPr>
      <w:tc>
        <w:tcPr>
          <w:tcW w:w="853" w:type="pct"/>
          <w:vMerge w:val="restart"/>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noProof/>
              <w:snapToGrid w:val="0"/>
              <w:sz w:val="20"/>
              <w:szCs w:val="20"/>
              <w:lang w:eastAsia="tr-TR"/>
            </w:rPr>
            <w:drawing>
              <wp:inline distT="0" distB="0" distL="0" distR="0">
                <wp:extent cx="1052195" cy="845185"/>
                <wp:effectExtent l="0" t="0" r="0" b="0"/>
                <wp:docPr id="14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845185"/>
                        </a:xfrm>
                        <a:prstGeom prst="rect">
                          <a:avLst/>
                        </a:prstGeom>
                        <a:noFill/>
                        <a:ln>
                          <a:noFill/>
                        </a:ln>
                      </pic:spPr>
                    </pic:pic>
                  </a:graphicData>
                </a:graphic>
              </wp:inline>
            </w:drawing>
          </w:r>
        </w:p>
      </w:tc>
      <w:tc>
        <w:tcPr>
          <w:tcW w:w="2422" w:type="pct"/>
          <w:vMerge w:val="restart"/>
          <w:vAlign w:val="center"/>
        </w:tcPr>
        <w:p w:rsidR="00060128" w:rsidRPr="00D45B06" w:rsidRDefault="00060128" w:rsidP="00060128">
          <w:pPr>
            <w:spacing w:after="0" w:line="240" w:lineRule="auto"/>
            <w:jc w:val="center"/>
            <w:rPr>
              <w:rFonts w:ascii="Times New Roman" w:hAnsi="Times New Roman"/>
              <w:b/>
              <w:sz w:val="24"/>
            </w:rPr>
          </w:pPr>
          <w:r w:rsidRPr="00D45B06">
            <w:rPr>
              <w:rFonts w:ascii="Times New Roman" w:hAnsi="Times New Roman"/>
              <w:b/>
              <w:sz w:val="24"/>
            </w:rPr>
            <w:t>T.C.</w:t>
          </w:r>
        </w:p>
        <w:p w:rsidR="00060128" w:rsidRPr="00D45B06" w:rsidRDefault="002F47D5" w:rsidP="00060128">
          <w:pPr>
            <w:spacing w:after="0" w:line="240" w:lineRule="auto"/>
            <w:jc w:val="center"/>
            <w:rPr>
              <w:rFonts w:ascii="Times New Roman" w:hAnsi="Times New Roman"/>
              <w:b/>
              <w:sz w:val="24"/>
            </w:rPr>
          </w:pPr>
          <w:r>
            <w:rPr>
              <w:rFonts w:ascii="Times New Roman" w:hAnsi="Times New Roman"/>
              <w:b/>
              <w:sz w:val="24"/>
            </w:rPr>
            <w:t>BATMAN ÜNİVERSİ</w:t>
          </w:r>
          <w:r w:rsidR="00060128" w:rsidRPr="00D45B06">
            <w:rPr>
              <w:rFonts w:ascii="Times New Roman" w:hAnsi="Times New Roman"/>
              <w:b/>
              <w:sz w:val="24"/>
            </w:rPr>
            <w:t>TES</w:t>
          </w:r>
          <w:r>
            <w:rPr>
              <w:rFonts w:ascii="Times New Roman" w:hAnsi="Times New Roman"/>
              <w:b/>
              <w:sz w:val="24"/>
            </w:rPr>
            <w:t>İ</w:t>
          </w:r>
        </w:p>
        <w:p w:rsidR="00457CE0" w:rsidRPr="00A21C88" w:rsidRDefault="00457CE0" w:rsidP="00457CE0">
          <w:pPr>
            <w:spacing w:after="0" w:line="240" w:lineRule="auto"/>
            <w:jc w:val="center"/>
            <w:rPr>
              <w:rFonts w:ascii="Times New Roman" w:hAnsi="Times New Roman"/>
              <w:b/>
              <w:sz w:val="24"/>
            </w:rPr>
          </w:pPr>
          <w:bookmarkStart w:id="0" w:name="_GoBack"/>
          <w:r w:rsidRPr="00A21C88">
            <w:rPr>
              <w:rFonts w:ascii="Times New Roman" w:hAnsi="Times New Roman"/>
              <w:b/>
              <w:sz w:val="24"/>
            </w:rPr>
            <w:t>Kütüphane ve Dokümantasyon Daire Başkanlığı</w:t>
          </w:r>
        </w:p>
        <w:p w:rsidR="002F7323" w:rsidRPr="00B51DEF" w:rsidRDefault="00755F9D" w:rsidP="00755F9D">
          <w:pPr>
            <w:spacing w:after="0" w:line="240" w:lineRule="auto"/>
            <w:jc w:val="center"/>
            <w:rPr>
              <w:rFonts w:ascii="Times New Roman" w:hAnsi="Times New Roman"/>
              <w:b/>
              <w:sz w:val="24"/>
              <w:szCs w:val="24"/>
            </w:rPr>
          </w:pPr>
          <w:r w:rsidRPr="0002089F">
            <w:rPr>
              <w:rFonts w:ascii="Times New Roman" w:hAnsi="Times New Roman"/>
              <w:b/>
              <w:sz w:val="24"/>
              <w:szCs w:val="24"/>
            </w:rPr>
            <w:t>Satın Alma ve Abonelik Politikası</w:t>
          </w:r>
          <w:bookmarkEnd w:id="0"/>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Doküman No</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D15142" w:rsidP="00113398">
          <w:pPr>
            <w:pStyle w:val="stbilgi"/>
            <w:spacing w:after="0" w:line="240" w:lineRule="auto"/>
            <w:rPr>
              <w:rFonts w:ascii="Times New Roman" w:hAnsi="Times New Roman"/>
              <w:sz w:val="20"/>
              <w:szCs w:val="20"/>
            </w:rPr>
          </w:pPr>
          <w:r>
            <w:rPr>
              <w:rFonts w:ascii="Times New Roman" w:hAnsi="Times New Roman"/>
              <w:sz w:val="20"/>
              <w:szCs w:val="20"/>
            </w:rPr>
            <w:t>PO-006</w:t>
          </w:r>
        </w:p>
      </w:tc>
    </w:tr>
    <w:tr w:rsidR="002F7323" w:rsidRPr="002F7323" w:rsidTr="002F7323">
      <w:trPr>
        <w:trHeight w:val="283"/>
      </w:trPr>
      <w:tc>
        <w:tcPr>
          <w:tcW w:w="853"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2422"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İlk Yayın Tarihi</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D15142" w:rsidP="002F7323">
          <w:pPr>
            <w:pStyle w:val="stbilgi"/>
            <w:spacing w:after="0" w:line="240" w:lineRule="auto"/>
            <w:rPr>
              <w:rFonts w:ascii="Times New Roman" w:hAnsi="Times New Roman"/>
              <w:sz w:val="20"/>
              <w:szCs w:val="20"/>
            </w:rPr>
          </w:pPr>
          <w:r>
            <w:rPr>
              <w:rFonts w:ascii="Times New Roman" w:hAnsi="Times New Roman"/>
              <w:sz w:val="20"/>
              <w:szCs w:val="20"/>
            </w:rPr>
            <w:t>05.12.2025</w:t>
          </w:r>
        </w:p>
      </w:tc>
    </w:tr>
    <w:tr w:rsidR="002F7323" w:rsidRPr="002F7323" w:rsidTr="002F7323">
      <w:trPr>
        <w:trHeight w:val="283"/>
      </w:trPr>
      <w:tc>
        <w:tcPr>
          <w:tcW w:w="853"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2422"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Revizyon Tarihi</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2F7323" w:rsidP="002F7323">
          <w:pPr>
            <w:pStyle w:val="stbilgi"/>
            <w:spacing w:after="0" w:line="240" w:lineRule="auto"/>
            <w:rPr>
              <w:rFonts w:ascii="Times New Roman" w:hAnsi="Times New Roman"/>
              <w:sz w:val="20"/>
              <w:szCs w:val="20"/>
            </w:rPr>
          </w:pPr>
        </w:p>
      </w:tc>
    </w:tr>
    <w:tr w:rsidR="002F7323" w:rsidRPr="002F7323" w:rsidTr="002F7323">
      <w:trPr>
        <w:trHeight w:val="283"/>
      </w:trPr>
      <w:tc>
        <w:tcPr>
          <w:tcW w:w="853"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2422"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Revizyon No</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113398" w:rsidP="002F7323">
          <w:pPr>
            <w:pStyle w:val="stbilgi"/>
            <w:spacing w:after="0" w:line="240" w:lineRule="auto"/>
            <w:rPr>
              <w:rFonts w:ascii="Times New Roman" w:hAnsi="Times New Roman"/>
              <w:sz w:val="20"/>
              <w:szCs w:val="20"/>
            </w:rPr>
          </w:pPr>
          <w:r>
            <w:rPr>
              <w:rFonts w:ascii="Times New Roman" w:hAnsi="Times New Roman"/>
              <w:sz w:val="20"/>
              <w:szCs w:val="20"/>
            </w:rPr>
            <w:t>00</w:t>
          </w:r>
        </w:p>
      </w:tc>
    </w:tr>
    <w:tr w:rsidR="002F7323" w:rsidRPr="002F7323" w:rsidTr="002F7323">
      <w:trPr>
        <w:trHeight w:val="283"/>
      </w:trPr>
      <w:tc>
        <w:tcPr>
          <w:tcW w:w="853"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2422" w:type="pct"/>
          <w:vMerge/>
          <w:vAlign w:val="center"/>
        </w:tcPr>
        <w:p w:rsidR="002F7323" w:rsidRPr="002F7323" w:rsidRDefault="002F7323" w:rsidP="002F7323">
          <w:pPr>
            <w:pStyle w:val="stbilgi"/>
            <w:spacing w:after="0" w:line="240" w:lineRule="auto"/>
            <w:rPr>
              <w:rFonts w:ascii="Times New Roman" w:hAnsi="Times New Roman"/>
              <w:sz w:val="20"/>
              <w:szCs w:val="20"/>
            </w:rPr>
          </w:pPr>
        </w:p>
      </w:tc>
      <w:tc>
        <w:tcPr>
          <w:tcW w:w="838" w:type="pct"/>
          <w:tcBorders>
            <w:righ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t>Sayfa No</w:t>
          </w:r>
        </w:p>
      </w:tc>
      <w:tc>
        <w:tcPr>
          <w:tcW w:w="194" w:type="pct"/>
          <w:tcBorders>
            <w:left w:val="nil"/>
            <w:right w:val="nil"/>
          </w:tcBorders>
        </w:tcPr>
        <w:p w:rsidR="002F7323" w:rsidRPr="002F7323" w:rsidRDefault="002F7323" w:rsidP="002F7323">
          <w:pPr>
            <w:pStyle w:val="stbilgi"/>
            <w:spacing w:after="0" w:line="240" w:lineRule="auto"/>
            <w:rPr>
              <w:rFonts w:ascii="Times New Roman" w:hAnsi="Times New Roman"/>
              <w:sz w:val="20"/>
              <w:szCs w:val="20"/>
            </w:rPr>
          </w:pPr>
          <w:r>
            <w:rPr>
              <w:rFonts w:ascii="Times New Roman" w:hAnsi="Times New Roman"/>
              <w:sz w:val="20"/>
              <w:szCs w:val="20"/>
            </w:rPr>
            <w:t>:</w:t>
          </w:r>
        </w:p>
      </w:tc>
      <w:tc>
        <w:tcPr>
          <w:tcW w:w="693" w:type="pct"/>
          <w:tcBorders>
            <w:left w:val="nil"/>
          </w:tcBorders>
          <w:vAlign w:val="center"/>
        </w:tcPr>
        <w:p w:rsidR="002F7323" w:rsidRPr="002F7323" w:rsidRDefault="002F7323" w:rsidP="002F7323">
          <w:pPr>
            <w:pStyle w:val="stbilgi"/>
            <w:spacing w:after="0" w:line="240" w:lineRule="auto"/>
            <w:rPr>
              <w:rFonts w:ascii="Times New Roman" w:hAnsi="Times New Roman"/>
              <w:sz w:val="20"/>
              <w:szCs w:val="20"/>
            </w:rPr>
          </w:pPr>
          <w:r w:rsidRPr="002F7323">
            <w:rPr>
              <w:rFonts w:ascii="Times New Roman" w:hAnsi="Times New Roman"/>
              <w:sz w:val="20"/>
              <w:szCs w:val="20"/>
            </w:rPr>
            <w:fldChar w:fldCharType="begin"/>
          </w:r>
          <w:r w:rsidRPr="002F7323">
            <w:rPr>
              <w:rFonts w:ascii="Times New Roman" w:hAnsi="Times New Roman"/>
              <w:sz w:val="20"/>
              <w:szCs w:val="20"/>
            </w:rPr>
            <w:instrText xml:space="preserve"> PAGE </w:instrText>
          </w:r>
          <w:r w:rsidRPr="002F7323">
            <w:rPr>
              <w:rFonts w:ascii="Times New Roman" w:hAnsi="Times New Roman"/>
              <w:sz w:val="20"/>
              <w:szCs w:val="20"/>
            </w:rPr>
            <w:fldChar w:fldCharType="separate"/>
          </w:r>
          <w:r w:rsidR="00D15142">
            <w:rPr>
              <w:rFonts w:ascii="Times New Roman" w:hAnsi="Times New Roman"/>
              <w:noProof/>
              <w:sz w:val="20"/>
              <w:szCs w:val="20"/>
            </w:rPr>
            <w:t>1</w:t>
          </w:r>
          <w:r w:rsidRPr="002F7323">
            <w:rPr>
              <w:rFonts w:ascii="Times New Roman" w:hAnsi="Times New Roman"/>
              <w:sz w:val="20"/>
              <w:szCs w:val="20"/>
            </w:rPr>
            <w:fldChar w:fldCharType="end"/>
          </w:r>
          <w:r w:rsidRPr="002F7323">
            <w:rPr>
              <w:rFonts w:ascii="Times New Roman" w:hAnsi="Times New Roman"/>
              <w:sz w:val="20"/>
              <w:szCs w:val="20"/>
            </w:rPr>
            <w:t xml:space="preserve"> / </w:t>
          </w:r>
          <w:r w:rsidRPr="002F7323">
            <w:rPr>
              <w:rFonts w:ascii="Times New Roman" w:hAnsi="Times New Roman"/>
              <w:sz w:val="20"/>
              <w:szCs w:val="20"/>
            </w:rPr>
            <w:fldChar w:fldCharType="begin"/>
          </w:r>
          <w:r w:rsidRPr="002F7323">
            <w:rPr>
              <w:rFonts w:ascii="Times New Roman" w:hAnsi="Times New Roman"/>
              <w:sz w:val="20"/>
              <w:szCs w:val="20"/>
            </w:rPr>
            <w:instrText xml:space="preserve"> NUMPAGES  </w:instrText>
          </w:r>
          <w:r w:rsidRPr="002F7323">
            <w:rPr>
              <w:rFonts w:ascii="Times New Roman" w:hAnsi="Times New Roman"/>
              <w:sz w:val="20"/>
              <w:szCs w:val="20"/>
            </w:rPr>
            <w:fldChar w:fldCharType="separate"/>
          </w:r>
          <w:r w:rsidR="00D15142">
            <w:rPr>
              <w:rFonts w:ascii="Times New Roman" w:hAnsi="Times New Roman"/>
              <w:noProof/>
              <w:sz w:val="20"/>
              <w:szCs w:val="20"/>
            </w:rPr>
            <w:t>2</w:t>
          </w:r>
          <w:r w:rsidRPr="002F7323">
            <w:rPr>
              <w:rFonts w:ascii="Times New Roman" w:hAnsi="Times New Roman"/>
              <w:sz w:val="20"/>
              <w:szCs w:val="20"/>
            </w:rPr>
            <w:fldChar w:fldCharType="end"/>
          </w:r>
        </w:p>
      </w:tc>
    </w:tr>
  </w:tbl>
  <w:p w:rsidR="003332C0" w:rsidRPr="002F7323" w:rsidRDefault="003332C0" w:rsidP="004C7EEF">
    <w:pPr>
      <w:pStyle w:val="stbilgi"/>
      <w:spacing w:after="0" w:line="240" w:lineRule="auto"/>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142" w:rsidRDefault="00D15142">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4618"/>
    <w:multiLevelType w:val="hybridMultilevel"/>
    <w:tmpl w:val="B1FC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54E98"/>
    <w:multiLevelType w:val="hybridMultilevel"/>
    <w:tmpl w:val="AF981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0564AD"/>
    <w:multiLevelType w:val="hybridMultilevel"/>
    <w:tmpl w:val="323C9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AB62FF"/>
    <w:multiLevelType w:val="hybridMultilevel"/>
    <w:tmpl w:val="3258E91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1C2510"/>
    <w:multiLevelType w:val="hybridMultilevel"/>
    <w:tmpl w:val="1890A048"/>
    <w:lvl w:ilvl="0" w:tplc="041F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31F2C"/>
    <w:multiLevelType w:val="hybridMultilevel"/>
    <w:tmpl w:val="3C4808D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E0sjQ2NzY1MDc1sTRW0lEKTi0uzszPAykwrAUAUjPr0CwAAAA="/>
  </w:docVars>
  <w:rsids>
    <w:rsidRoot w:val="00126BF5"/>
    <w:rsid w:val="00020BF9"/>
    <w:rsid w:val="00040865"/>
    <w:rsid w:val="0004090E"/>
    <w:rsid w:val="00055671"/>
    <w:rsid w:val="00060128"/>
    <w:rsid w:val="000A25FE"/>
    <w:rsid w:val="000B0BFE"/>
    <w:rsid w:val="000B53EF"/>
    <w:rsid w:val="000B7E85"/>
    <w:rsid w:val="000D7152"/>
    <w:rsid w:val="000F1425"/>
    <w:rsid w:val="00110CB6"/>
    <w:rsid w:val="00113398"/>
    <w:rsid w:val="00115D9C"/>
    <w:rsid w:val="00126BF5"/>
    <w:rsid w:val="00160259"/>
    <w:rsid w:val="001721F8"/>
    <w:rsid w:val="001E6287"/>
    <w:rsid w:val="001F431E"/>
    <w:rsid w:val="002675FC"/>
    <w:rsid w:val="002F29B4"/>
    <w:rsid w:val="002F47D5"/>
    <w:rsid w:val="002F7323"/>
    <w:rsid w:val="003039A4"/>
    <w:rsid w:val="00306D5D"/>
    <w:rsid w:val="003332C0"/>
    <w:rsid w:val="003572F2"/>
    <w:rsid w:val="00362F71"/>
    <w:rsid w:val="00364BCE"/>
    <w:rsid w:val="003E46B7"/>
    <w:rsid w:val="003F59FC"/>
    <w:rsid w:val="00406BE2"/>
    <w:rsid w:val="00413657"/>
    <w:rsid w:val="00413CA0"/>
    <w:rsid w:val="004548C2"/>
    <w:rsid w:val="00457CE0"/>
    <w:rsid w:val="004A1835"/>
    <w:rsid w:val="004B3CFE"/>
    <w:rsid w:val="004C7EEF"/>
    <w:rsid w:val="005415ED"/>
    <w:rsid w:val="005759E4"/>
    <w:rsid w:val="005D5568"/>
    <w:rsid w:val="005E713B"/>
    <w:rsid w:val="0061711F"/>
    <w:rsid w:val="0062738C"/>
    <w:rsid w:val="00633910"/>
    <w:rsid w:val="00737C79"/>
    <w:rsid w:val="00755F9D"/>
    <w:rsid w:val="007A6908"/>
    <w:rsid w:val="008A0BFD"/>
    <w:rsid w:val="00910DE7"/>
    <w:rsid w:val="009216C9"/>
    <w:rsid w:val="00933CE4"/>
    <w:rsid w:val="009B10CD"/>
    <w:rsid w:val="009E0B3F"/>
    <w:rsid w:val="00A93ADF"/>
    <w:rsid w:val="00AA2250"/>
    <w:rsid w:val="00AF57D0"/>
    <w:rsid w:val="00B472ED"/>
    <w:rsid w:val="00B51DEF"/>
    <w:rsid w:val="00B911F9"/>
    <w:rsid w:val="00B95D82"/>
    <w:rsid w:val="00BE6586"/>
    <w:rsid w:val="00C02AD8"/>
    <w:rsid w:val="00C85D1F"/>
    <w:rsid w:val="00CB1E50"/>
    <w:rsid w:val="00D15142"/>
    <w:rsid w:val="00D2700C"/>
    <w:rsid w:val="00D31373"/>
    <w:rsid w:val="00D92BFF"/>
    <w:rsid w:val="00DB59F9"/>
    <w:rsid w:val="00DB70C6"/>
    <w:rsid w:val="00DE2273"/>
    <w:rsid w:val="00E74B65"/>
    <w:rsid w:val="00ED588E"/>
    <w:rsid w:val="00F35B70"/>
    <w:rsid w:val="00F90651"/>
    <w:rsid w:val="00FB2FCB"/>
    <w:rsid w:val="00FD64A8"/>
    <w:rsid w:val="00FE1CEF"/>
    <w:rsid w:val="00FF5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C20CA"/>
  <w15:chartTrackingRefBased/>
  <w15:docId w15:val="{4C024CB1-1F95-4E87-8658-53CDFFB9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CE"/>
    <w:pPr>
      <w:spacing w:after="200" w:line="276" w:lineRule="auto"/>
    </w:pPr>
    <w:rPr>
      <w:sz w:val="22"/>
      <w:szCs w:val="22"/>
      <w:lang w:eastAsia="en-US"/>
    </w:rPr>
  </w:style>
  <w:style w:type="paragraph" w:styleId="Balk2">
    <w:name w:val="heading 2"/>
    <w:basedOn w:val="Normal"/>
    <w:link w:val="Balk2Char"/>
    <w:uiPriority w:val="9"/>
    <w:qFormat/>
    <w:rsid w:val="00DB70C6"/>
    <w:pPr>
      <w:spacing w:before="100" w:beforeAutospacing="1" w:after="100" w:afterAutospacing="1" w:line="240" w:lineRule="auto"/>
      <w:outlineLvl w:val="1"/>
    </w:pPr>
    <w:rPr>
      <w:rFonts w:ascii="Times New Roman" w:eastAsia="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4B3CFE"/>
    <w:pPr>
      <w:tabs>
        <w:tab w:val="center" w:pos="4536"/>
        <w:tab w:val="right" w:pos="9072"/>
      </w:tabs>
    </w:pPr>
  </w:style>
  <w:style w:type="character" w:customStyle="1" w:styleId="stbilgiChar">
    <w:name w:val="Üstbilgi Char"/>
    <w:link w:val="stbilgi"/>
    <w:uiPriority w:val="99"/>
    <w:rsid w:val="004B3CFE"/>
    <w:rPr>
      <w:sz w:val="22"/>
      <w:szCs w:val="22"/>
      <w:lang w:eastAsia="en-US"/>
    </w:rPr>
  </w:style>
  <w:style w:type="paragraph" w:customStyle="1" w:styleId="Altbilgi">
    <w:name w:val="Altbilgi"/>
    <w:basedOn w:val="Normal"/>
    <w:link w:val="AltbilgiChar"/>
    <w:uiPriority w:val="99"/>
    <w:unhideWhenUsed/>
    <w:rsid w:val="004B3CFE"/>
    <w:pPr>
      <w:tabs>
        <w:tab w:val="center" w:pos="4536"/>
        <w:tab w:val="right" w:pos="9072"/>
      </w:tabs>
    </w:pPr>
  </w:style>
  <w:style w:type="character" w:customStyle="1" w:styleId="AltbilgiChar">
    <w:name w:val="Altbilgi Char"/>
    <w:link w:val="Altbilgi"/>
    <w:uiPriority w:val="99"/>
    <w:rsid w:val="004B3CFE"/>
    <w:rPr>
      <w:sz w:val="22"/>
      <w:szCs w:val="22"/>
      <w:lang w:eastAsia="en-US"/>
    </w:rPr>
  </w:style>
  <w:style w:type="character" w:customStyle="1" w:styleId="Balk2Char">
    <w:name w:val="Başlık 2 Char"/>
    <w:link w:val="Balk2"/>
    <w:uiPriority w:val="9"/>
    <w:rsid w:val="00DB70C6"/>
    <w:rPr>
      <w:rFonts w:ascii="Times New Roman" w:eastAsia="Times New Roman" w:hAnsi="Times New Roman"/>
      <w:b/>
      <w:bCs/>
      <w:sz w:val="36"/>
      <w:szCs w:val="36"/>
    </w:rPr>
  </w:style>
  <w:style w:type="paragraph" w:styleId="ListeParagraf">
    <w:name w:val="List Paragraph"/>
    <w:basedOn w:val="Normal"/>
    <w:uiPriority w:val="34"/>
    <w:qFormat/>
    <w:rsid w:val="00F90651"/>
    <w:pPr>
      <w:spacing w:after="160" w:line="259" w:lineRule="auto"/>
      <w:ind w:left="720"/>
      <w:contextualSpacing/>
    </w:pPr>
  </w:style>
  <w:style w:type="paragraph" w:styleId="stBilgi0">
    <w:name w:val="header"/>
    <w:basedOn w:val="Normal"/>
    <w:link w:val="stBilgiChar0"/>
    <w:uiPriority w:val="99"/>
    <w:unhideWhenUsed/>
    <w:rsid w:val="00113398"/>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113398"/>
    <w:rPr>
      <w:sz w:val="22"/>
      <w:szCs w:val="22"/>
      <w:lang w:eastAsia="en-US"/>
    </w:rPr>
  </w:style>
  <w:style w:type="paragraph" w:styleId="AltBilgi0">
    <w:name w:val="footer"/>
    <w:basedOn w:val="Normal"/>
    <w:link w:val="AltBilgiChar0"/>
    <w:uiPriority w:val="99"/>
    <w:unhideWhenUsed/>
    <w:rsid w:val="00113398"/>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113398"/>
    <w:rPr>
      <w:sz w:val="22"/>
      <w:szCs w:val="22"/>
      <w:lang w:eastAsia="en-US"/>
    </w:rPr>
  </w:style>
  <w:style w:type="table" w:styleId="TabloKlavuzu">
    <w:name w:val="Table Grid"/>
    <w:basedOn w:val="NormalTablo"/>
    <w:uiPriority w:val="59"/>
    <w:rsid w:val="00457CE0"/>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838611">
      <w:bodyDiv w:val="1"/>
      <w:marLeft w:val="0"/>
      <w:marRight w:val="0"/>
      <w:marTop w:val="0"/>
      <w:marBottom w:val="0"/>
      <w:divBdr>
        <w:top w:val="none" w:sz="0" w:space="0" w:color="auto"/>
        <w:left w:val="none" w:sz="0" w:space="0" w:color="auto"/>
        <w:bottom w:val="none" w:sz="0" w:space="0" w:color="auto"/>
        <w:right w:val="none" w:sz="0" w:space="0" w:color="auto"/>
      </w:divBdr>
    </w:div>
    <w:div w:id="194079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CE8C-E0C3-49CB-8AB4-5356AEF7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Ali Bayram</cp:lastModifiedBy>
  <cp:revision>2</cp:revision>
  <cp:lastPrinted>2018-06-29T10:48:00Z</cp:lastPrinted>
  <dcterms:created xsi:type="dcterms:W3CDTF">2025-12-05T08:21:00Z</dcterms:created>
  <dcterms:modified xsi:type="dcterms:W3CDTF">2025-12-05T08:21:00Z</dcterms:modified>
</cp:coreProperties>
</file>