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E5" w:rsidRPr="00D75235" w:rsidRDefault="000010E5" w:rsidP="00BB370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BİRİNC</w:t>
      </w:r>
      <w:bookmarkStart w:id="0" w:name="_GoBack"/>
      <w:bookmarkEnd w:id="0"/>
      <w:r w:rsidRPr="00D75235">
        <w:rPr>
          <w:rFonts w:ascii="Times New Roman" w:hAnsi="Times New Roman"/>
          <w:b/>
          <w:sz w:val="24"/>
        </w:rPr>
        <w:t>İ BÖLÜM</w:t>
      </w:r>
    </w:p>
    <w:p w:rsidR="000010E5" w:rsidRPr="00D75235" w:rsidRDefault="000010E5" w:rsidP="00BB370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Başlangıç Hükümleri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Amaç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1 –</w:t>
      </w:r>
      <w:r w:rsidRPr="00D75235">
        <w:rPr>
          <w:rFonts w:ascii="Times New Roman" w:hAnsi="Times New Roman"/>
          <w:sz w:val="24"/>
        </w:rPr>
        <w:t xml:space="preserve"> (1) Bu Politikanın amacı, Batman Üniversitesi kütüphanelerinde kullanıcıların uyması gereken genel kuralları düzenlemek; kütüphane hizmetlerinden adil, güvenli, sessiz ve verimli biçimde yararlanılmasını sağlamaktır.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Kapsam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2 –</w:t>
      </w:r>
      <w:r w:rsidRPr="00D75235">
        <w:rPr>
          <w:rFonts w:ascii="Times New Roman" w:hAnsi="Times New Roman"/>
          <w:sz w:val="24"/>
        </w:rPr>
        <w:t xml:space="preserve"> (1) Bu Politika, Batman Üniversitesi akademik ve idari personeli, öğrencileri, misafir öğretim üyeleri, değişim programı öğrencileri ve kütüphane tarafından belirlenen diğer kullanıcıları kapsar.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Dayanak</w:t>
      </w:r>
    </w:p>
    <w:p w:rsidR="000010E5" w:rsidRPr="00E779DB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779DB">
        <w:rPr>
          <w:rFonts w:ascii="Times New Roman" w:hAnsi="Times New Roman"/>
          <w:b/>
          <w:sz w:val="24"/>
          <w:szCs w:val="24"/>
        </w:rPr>
        <w:t>MADDE 3 –</w:t>
      </w:r>
      <w:r w:rsidRPr="00E779DB">
        <w:rPr>
          <w:rFonts w:ascii="Times New Roman" w:hAnsi="Times New Roman"/>
          <w:sz w:val="24"/>
          <w:szCs w:val="24"/>
        </w:rPr>
        <w:t xml:space="preserve"> (1) Bu Politika, 2547 sayılı Yükseköğretim Kanunu; 2809 sayılı Kanun ve 124 sayı</w:t>
      </w:r>
      <w:r w:rsidR="00CA7379">
        <w:rPr>
          <w:rFonts w:ascii="Times New Roman" w:hAnsi="Times New Roman"/>
          <w:sz w:val="24"/>
          <w:szCs w:val="24"/>
        </w:rPr>
        <w:t xml:space="preserve">lı KHK’nın 26 ve 33. maddeleri; </w:t>
      </w:r>
      <w:r w:rsidRPr="00E779DB">
        <w:rPr>
          <w:rFonts w:ascii="Times New Roman" w:hAnsi="Times New Roman"/>
          <w:sz w:val="24"/>
          <w:szCs w:val="24"/>
        </w:rPr>
        <w:t>Batman Üniversitesi Kütüphane Hizmetleri Yönergesine dayanılarak hazırlanmıştır.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Tanımlar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4 –</w:t>
      </w:r>
      <w:r w:rsidRPr="00D75235">
        <w:rPr>
          <w:rFonts w:ascii="Times New Roman" w:hAnsi="Times New Roman"/>
          <w:sz w:val="24"/>
        </w:rPr>
        <w:t xml:space="preserve"> (1) Bu Politikada geçen terimlerden: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a) Kullanıcı: Kütüphane hizmetlerinden yararlanan kişi,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b) Sessiz Alan: Kütüphane içinde sesli konuşmanın yasak olduğu bölümler,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c) Yasaklı Davranış: Kütüphane düzenini, sessizliğini veya kaynak güvenliğini ihlal eden davranış,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ç) Görevli: Kütüphane hizmetlerinin yürütülmesinden sorumlu personel,</w:t>
      </w:r>
      <w:r>
        <w:rPr>
          <w:rFonts w:ascii="Times New Roman" w:hAnsi="Times New Roman"/>
          <w:sz w:val="24"/>
        </w:rPr>
        <w:t xml:space="preserve"> </w:t>
      </w:r>
      <w:r w:rsidRPr="00D75235">
        <w:rPr>
          <w:rFonts w:ascii="Times New Roman" w:hAnsi="Times New Roman"/>
          <w:sz w:val="24"/>
        </w:rPr>
        <w:t>ifade eder.</w:t>
      </w:r>
    </w:p>
    <w:p w:rsidR="000010E5" w:rsidRPr="00D75235" w:rsidRDefault="000010E5" w:rsidP="00BB370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İKİNCİ BÖLÜM</w:t>
      </w:r>
    </w:p>
    <w:p w:rsidR="000010E5" w:rsidRPr="00D75235" w:rsidRDefault="000010E5" w:rsidP="00BB370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Esas Hükümler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Kullanım Kuralları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5 –</w:t>
      </w:r>
      <w:r w:rsidRPr="00D75235">
        <w:rPr>
          <w:rFonts w:ascii="Times New Roman" w:hAnsi="Times New Roman"/>
          <w:sz w:val="24"/>
        </w:rPr>
        <w:t xml:space="preserve"> (1) Kütüphane içinde sessizlik esastır; sessiz alanlarda konuşma, yüksek sesle okuma ve telefonla görüşme yasaktır.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(2) Grup çalışmaları yalnızca grup çalışma odalarında yapılabilir.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(3) Cep telefonları sessize alınmalı, görüntülü ve sesli görüşmeler kütüphane dışında yapılmalıdır.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(4) Yiyecek ve içecek bulundurulamaz; yalnızca kapaklı içecekler kabul edilir.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(5) Kütüphane bilgisayarları ve internet erişimi yalnızca eğitim, öğretim ve araştırma amaçlı kullanılabilir.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(6) Kütüphane materyallerine zarar vermek, üzerinde işaretleme yapmak veya kaynağı kaybetmek yasaktır.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(7) Kullanıcılar kütüphane personelinin uyarı ve yönlendirmelerine uymak zorundadır.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Disiplin ve Yaptırımlar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6 –</w:t>
      </w:r>
      <w:r w:rsidRPr="00D75235">
        <w:rPr>
          <w:rFonts w:ascii="Times New Roman" w:hAnsi="Times New Roman"/>
          <w:sz w:val="24"/>
        </w:rPr>
        <w:t xml:space="preserve"> (1) Kütüphane kurallarına uymayan kullanıcılar öncelikle sözlü olarak uyarılır.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(2) Tekrar eden ihlallerde kullanıcının kütüphane kullanım hakkı geçici süreyle kısıtlanabilir.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t>(3) Materyallere zarar verilmesi veya kaybolması durumunda kullanıcı, ilgili politikada belirtilen tazmin yükümlülüklerini yerine getirmekle yükümlüdür.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sz w:val="24"/>
        </w:rPr>
        <w:lastRenderedPageBreak/>
        <w:t>(4) Kullanıcı davranışlarının disiplin suçu teşkil etmesi halinde durum ilgili mevzuat çerçevesinde işlem yapılmak üzere Üniversitenin yetkili birimlerine bildirilir.</w:t>
      </w:r>
    </w:p>
    <w:p w:rsidR="000010E5" w:rsidRPr="00D75235" w:rsidRDefault="000010E5" w:rsidP="00BB370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ÜÇÜNCÜ BÖLÜM</w:t>
      </w:r>
    </w:p>
    <w:p w:rsidR="000010E5" w:rsidRPr="00D75235" w:rsidRDefault="000010E5" w:rsidP="00BB370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Çeşitli ve Son Hükümler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Yürürlük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7 –</w:t>
      </w:r>
      <w:r w:rsidRPr="00D75235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0010E5" w:rsidRPr="00D75235" w:rsidRDefault="000010E5" w:rsidP="00BB370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75235">
        <w:rPr>
          <w:rFonts w:ascii="Times New Roman" w:hAnsi="Times New Roman"/>
          <w:b/>
          <w:sz w:val="24"/>
        </w:rPr>
        <w:t>Yürütme</w:t>
      </w:r>
    </w:p>
    <w:p w:rsidR="00126BF5" w:rsidRPr="000010E5" w:rsidRDefault="000010E5" w:rsidP="00BB370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75235">
        <w:rPr>
          <w:rFonts w:ascii="Times New Roman" w:hAnsi="Times New Roman"/>
          <w:b/>
          <w:sz w:val="24"/>
        </w:rPr>
        <w:t>MADDE 8 –</w:t>
      </w:r>
      <w:r w:rsidRPr="00D75235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sectPr w:rsidR="00126BF5" w:rsidRPr="000010E5" w:rsidSect="00BB3706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8CC" w:rsidRDefault="00BF58CC" w:rsidP="004B3CFE">
      <w:pPr>
        <w:spacing w:after="0" w:line="240" w:lineRule="auto"/>
      </w:pPr>
      <w:r>
        <w:separator/>
      </w:r>
    </w:p>
  </w:endnote>
  <w:endnote w:type="continuationSeparator" w:id="0">
    <w:p w:rsidR="00BF58CC" w:rsidRDefault="00BF58CC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BB3706">
    <w:pPr>
      <w:pStyle w:val="Altbilgi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8CC" w:rsidRDefault="00BF58CC" w:rsidP="004B3CFE">
      <w:pPr>
        <w:spacing w:after="0" w:line="240" w:lineRule="auto"/>
      </w:pPr>
      <w:r>
        <w:separator/>
      </w:r>
    </w:p>
  </w:footnote>
  <w:footnote w:type="continuationSeparator" w:id="0">
    <w:p w:rsidR="00BF58CC" w:rsidRDefault="00BF58CC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457CE0" w:rsidRPr="00A21C88" w:rsidRDefault="00457CE0" w:rsidP="00457CE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A21C88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567669" w:rsidRDefault="000010E5" w:rsidP="000010E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75235">
            <w:rPr>
              <w:rFonts w:ascii="Times New Roman" w:hAnsi="Times New Roman"/>
              <w:b/>
              <w:sz w:val="24"/>
            </w:rPr>
            <w:t>Kütüphane Kullanım Politikası</w:t>
          </w: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BB3706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PO-001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BB3706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B3706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BB3706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010E5"/>
    <w:rsid w:val="00020BF9"/>
    <w:rsid w:val="00040865"/>
    <w:rsid w:val="0004090E"/>
    <w:rsid w:val="00055671"/>
    <w:rsid w:val="00060128"/>
    <w:rsid w:val="00073D3A"/>
    <w:rsid w:val="000A25FE"/>
    <w:rsid w:val="000B0BFE"/>
    <w:rsid w:val="000B53EF"/>
    <w:rsid w:val="000B7E85"/>
    <w:rsid w:val="000D0487"/>
    <w:rsid w:val="000D7152"/>
    <w:rsid w:val="000F1425"/>
    <w:rsid w:val="000F5F57"/>
    <w:rsid w:val="00110CB6"/>
    <w:rsid w:val="00113398"/>
    <w:rsid w:val="00115D9C"/>
    <w:rsid w:val="00126BF5"/>
    <w:rsid w:val="00160259"/>
    <w:rsid w:val="00162261"/>
    <w:rsid w:val="001721F8"/>
    <w:rsid w:val="001E6287"/>
    <w:rsid w:val="001F431E"/>
    <w:rsid w:val="0021003B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57CE0"/>
    <w:rsid w:val="004A1835"/>
    <w:rsid w:val="004B3CFE"/>
    <w:rsid w:val="004C7EEF"/>
    <w:rsid w:val="005415ED"/>
    <w:rsid w:val="00567669"/>
    <w:rsid w:val="005759E4"/>
    <w:rsid w:val="005D5568"/>
    <w:rsid w:val="005E713B"/>
    <w:rsid w:val="0061711F"/>
    <w:rsid w:val="0062738C"/>
    <w:rsid w:val="00633910"/>
    <w:rsid w:val="00737C79"/>
    <w:rsid w:val="00755F9D"/>
    <w:rsid w:val="007A6908"/>
    <w:rsid w:val="00850BC9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32AE6"/>
    <w:rsid w:val="00B472ED"/>
    <w:rsid w:val="00B51DEF"/>
    <w:rsid w:val="00B911F9"/>
    <w:rsid w:val="00B95D82"/>
    <w:rsid w:val="00BB3706"/>
    <w:rsid w:val="00BE6586"/>
    <w:rsid w:val="00BF58CC"/>
    <w:rsid w:val="00C02AD8"/>
    <w:rsid w:val="00C45790"/>
    <w:rsid w:val="00C85D1F"/>
    <w:rsid w:val="00CA7379"/>
    <w:rsid w:val="00CB1E50"/>
    <w:rsid w:val="00CC3120"/>
    <w:rsid w:val="00D11287"/>
    <w:rsid w:val="00D2700C"/>
    <w:rsid w:val="00D30B5F"/>
    <w:rsid w:val="00D31373"/>
    <w:rsid w:val="00D362C0"/>
    <w:rsid w:val="00D92BFF"/>
    <w:rsid w:val="00DB59F9"/>
    <w:rsid w:val="00DB5E00"/>
    <w:rsid w:val="00DB70C6"/>
    <w:rsid w:val="00DE2273"/>
    <w:rsid w:val="00E10A72"/>
    <w:rsid w:val="00E74B65"/>
    <w:rsid w:val="00E779DB"/>
    <w:rsid w:val="00ED588E"/>
    <w:rsid w:val="00EF7255"/>
    <w:rsid w:val="00F35B70"/>
    <w:rsid w:val="00F90651"/>
    <w:rsid w:val="00FB2FCB"/>
    <w:rsid w:val="00FE1CE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0460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457CE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2025-12-05T07:16:00Z</dcterms:created>
  <dcterms:modified xsi:type="dcterms:W3CDTF">2025-12-05T07:16:00Z</dcterms:modified>
</cp:coreProperties>
</file>