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1. AMAÇ</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Bu prosedürün amacı, </w:t>
      </w:r>
      <w:r w:rsidR="006C5273" w:rsidRPr="0089786D">
        <w:rPr>
          <w:rFonts w:ascii="Times New Roman" w:hAnsi="Times New Roman" w:cs="Times New Roman"/>
          <w:color w:val="auto"/>
        </w:rPr>
        <w:t>BTÜ</w:t>
      </w:r>
      <w:r w:rsidRPr="0089786D">
        <w:rPr>
          <w:rFonts w:ascii="Times New Roman" w:hAnsi="Times New Roman" w:cs="Times New Roman"/>
          <w:color w:val="auto"/>
        </w:rPr>
        <w:t xml:space="preserve"> eğitim – öğretim hizmetlerinin tasarlanması ve geliştirilmesiyle ilgili yöntemi açıklamaktır.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2. KAPSAM</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Bu prosedür, </w:t>
      </w:r>
      <w:r w:rsidR="006C5273" w:rsidRPr="0089786D">
        <w:rPr>
          <w:rFonts w:ascii="Times New Roman" w:hAnsi="Times New Roman" w:cs="Times New Roman"/>
          <w:color w:val="auto"/>
        </w:rPr>
        <w:t>BTÜ</w:t>
      </w:r>
      <w:r w:rsidRPr="0089786D">
        <w:rPr>
          <w:rFonts w:ascii="Times New Roman" w:hAnsi="Times New Roman" w:cs="Times New Roman"/>
          <w:color w:val="auto"/>
        </w:rPr>
        <w:t xml:space="preserve">’de tasarım gerektiren tüm eğitim – öğretim hizmetlerini kapsamaktadır.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3. TANIMLAR</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Gerekli tanımlar dokümanlarda belirtilen mevzuat içerisinde yapılmaktadır.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4. SORUMLULUKLAR</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1. Öğrenci İşleri Daire Başkanlığı </w:t>
      </w:r>
    </w:p>
    <w:p w:rsidR="006C5273"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2. </w:t>
      </w:r>
      <w:r w:rsidR="00732C69" w:rsidRPr="0089786D">
        <w:rPr>
          <w:rFonts w:ascii="Times New Roman" w:hAnsi="Times New Roman" w:cs="Times New Roman"/>
          <w:color w:val="auto"/>
        </w:rPr>
        <w:t>. Fakülteler / Yüksekokullar/Meslek Yüksekokullar/Enstitüler</w:t>
      </w:r>
    </w:p>
    <w:p w:rsidR="00BF3A1F" w:rsidRPr="0089786D" w:rsidRDefault="00BF3A1F" w:rsidP="0089786D">
      <w:pPr>
        <w:spacing w:line="360" w:lineRule="auto"/>
        <w:jc w:val="both"/>
        <w:rPr>
          <w:rFonts w:ascii="Times New Roman" w:hAnsi="Times New Roman" w:cs="Times New Roman"/>
          <w:b/>
          <w:color w:val="auto"/>
        </w:rPr>
      </w:pPr>
      <w:r w:rsidRPr="0089786D">
        <w:rPr>
          <w:rFonts w:ascii="Times New Roman" w:hAnsi="Times New Roman" w:cs="Times New Roman"/>
          <w:b/>
          <w:color w:val="auto"/>
        </w:rPr>
        <w:t xml:space="preserve">5. UYGULAMA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5.1 Genel</w:t>
      </w:r>
      <w:r w:rsidRPr="0089786D">
        <w:rPr>
          <w:rFonts w:ascii="Times New Roman" w:hAnsi="Times New Roman" w:cs="Times New Roman"/>
          <w:color w:val="auto"/>
        </w:rPr>
        <w:t xml:space="preserve"> </w:t>
      </w:r>
    </w:p>
    <w:p w:rsidR="00BF3A1F" w:rsidRPr="0089786D" w:rsidRDefault="006C5273"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BTÜ</w:t>
      </w:r>
      <w:r w:rsidR="00BF3A1F" w:rsidRPr="0089786D">
        <w:rPr>
          <w:rFonts w:ascii="Times New Roman" w:hAnsi="Times New Roman" w:cs="Times New Roman"/>
          <w:color w:val="auto"/>
        </w:rPr>
        <w:t xml:space="preserve"> eğitim – öğretim hizmetlerinin tasarımı ve geliştirilmesi prosedürü, </w:t>
      </w:r>
      <w:r w:rsidRPr="0089786D">
        <w:rPr>
          <w:rFonts w:ascii="Times New Roman" w:hAnsi="Times New Roman" w:cs="Times New Roman"/>
          <w:color w:val="auto"/>
        </w:rPr>
        <w:t>BTÜ</w:t>
      </w:r>
      <w:r w:rsidR="00BF3A1F" w:rsidRPr="0089786D">
        <w:rPr>
          <w:rFonts w:ascii="Times New Roman" w:hAnsi="Times New Roman" w:cs="Times New Roman"/>
          <w:color w:val="auto"/>
        </w:rPr>
        <w:t xml:space="preserve">’de bölüm yeterliliklerinin belirlenmesi, ders planları ve içeriklerinin güncellenmesi, öğretim elemanlarının bilimsel yayınlarının basılması, yeni lisans ve lisansüstü programların açılması, yeni araştırma vb. merkezlerinin kurulması, yeni lisans ve lisansüstü derslerin açılması gibi işlemleri kapsamaktadır. </w:t>
      </w:r>
    </w:p>
    <w:p w:rsidR="000A65F9"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Bu prosedür kapsamında ilgili birimlerin ve/veya yetkililerin gerçekleştirecekleri tüm tasarım ve geliştirme işlemlerinde “tasarım ihtiyacının belirlenmesi”, “tasarım geliştirme planının hazırlanması”, “tasarım ve geliştirme girdilerinin ve çıktılarının tanımlanması”, “tasarım ve geliştirmenin gözden geçirilmesi”, “tasarım ve geliştirmenin doğrulanması”, “tasarım ve geliştirmenin geçerliliğinin test edilmesi” ve “tasarım ve geliştirme değişikliğinin kontrolü” adımları sırasıyla izlenir.</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5.2 Tasarım İhtiyacının Belirlenmesi</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Eğitim ve öğretim hizmetlerinin tasarımı ve geliştirilmesi faaliyeti, tasarımı ve/veya geliştirilmesi düşünülen hizmetlere duyulan ihtiyacın belirlenmesi ile başlatılır.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Ön lisans, lisans ve lisansüstü alanlarla ilgili yeni bölüm / program ve ders açılmasına ya da mevcut bölüm / program ve derslerin geliştirilmesine yönelik ihtiyaçlar ilgili birimlerin yöneticilerinden, öğrencilerinden, öğretim elemanlarından ve sektörden alınan geri</w:t>
      </w:r>
      <w:r w:rsidR="007B2AD9" w:rsidRPr="0089786D">
        <w:rPr>
          <w:rFonts w:ascii="Times New Roman" w:hAnsi="Times New Roman" w:cs="Times New Roman"/>
          <w:color w:val="auto"/>
        </w:rPr>
        <w:t xml:space="preserve"> </w:t>
      </w:r>
      <w:r w:rsidRPr="0089786D">
        <w:rPr>
          <w:rFonts w:ascii="Times New Roman" w:hAnsi="Times New Roman" w:cs="Times New Roman"/>
          <w:color w:val="auto"/>
        </w:rPr>
        <w:t xml:space="preserve">bildirimler doğrultusunda belirlenir.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lastRenderedPageBreak/>
        <w:t xml:space="preserve">Açılması ya da geliştirilmesi düşünülen her bölüm ya da programa ilişkin yeterlilikler bilimsel gelişmelere ve iş dünyasındaki ihtiyaçlara paralel olarak belirlenir.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Akademik birimler Yükseköğretim Kurulunun “Yükseköğretim Kurumlarının Yurtdışı Yükseköğretim Kurumlarıyla Ortak Eğitim ve Öğretim Programlarına Dair Yönetmelik” hükümlerine uygun olarak yurt dışındaki yüksek kurumlarıyla ortak programlar açabilirler.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2547 Sayılı Yükseköğretim Kanunu’nun 7-d-2 maddesi uyarınca yükseköğretim kurumlarında uygulama ve araştırma merkezi Yükseköğretim Yürütme Kurulu kararı ile kurulabilmektedir. Uygulama ve araştırma merkezlerine olan ihtiyaç, öğretim elemanlarının ve iş dünyasının talepleri doğrultusunda üniversite üst yönetimince kararlaştırılır. </w:t>
      </w:r>
    </w:p>
    <w:p w:rsidR="0089786D"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yayınların tasarım ve geliştirme ihtiyaçları, ilgili bilim dalının ve iş dünyasının ihtiyaçları göz önünde bulundurularak öğretim elemanınca bizzat belirlenir.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5.3 Tasarım Geliştirme Planının Hazırlanması</w:t>
      </w:r>
      <w:r w:rsidRPr="0089786D">
        <w:rPr>
          <w:rFonts w:ascii="Times New Roman" w:hAnsi="Times New Roman" w:cs="Times New Roman"/>
          <w:color w:val="auto"/>
        </w:rPr>
        <w:t xml:space="preserve"> </w:t>
      </w:r>
    </w:p>
    <w:p w:rsidR="00BF3A1F" w:rsidRPr="0089786D" w:rsidRDefault="00536374"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Fakülteler, enstitüler, yüksekokullar ve meslek yüksek</w:t>
      </w:r>
      <w:r w:rsidR="00BF3A1F" w:rsidRPr="0089786D">
        <w:rPr>
          <w:rFonts w:ascii="Times New Roman" w:hAnsi="Times New Roman" w:cs="Times New Roman"/>
          <w:color w:val="auto"/>
        </w:rPr>
        <w:t xml:space="preserve">okulları öğretim elemanlarının, potansiyel öğrencilerin ve iş dünyasının taleplerine göre yeni bölüm ve/veya programlar açabilirler.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Yeni bölüm / program açma ile ilgili planlama çalışmaları Fakülte Dekanlığı, Enstitü, Yüksek</w:t>
      </w:r>
      <w:r w:rsidR="007B2AD9" w:rsidRPr="0089786D">
        <w:rPr>
          <w:rFonts w:ascii="Times New Roman" w:hAnsi="Times New Roman" w:cs="Times New Roman"/>
          <w:color w:val="auto"/>
        </w:rPr>
        <w:t>o</w:t>
      </w:r>
      <w:r w:rsidRPr="0089786D">
        <w:rPr>
          <w:rFonts w:ascii="Times New Roman" w:hAnsi="Times New Roman" w:cs="Times New Roman"/>
          <w:color w:val="auto"/>
        </w:rPr>
        <w:t>kul ve Meslek Yüksek</w:t>
      </w:r>
      <w:r w:rsidR="007B2AD9" w:rsidRPr="0089786D">
        <w:rPr>
          <w:rFonts w:ascii="Times New Roman" w:hAnsi="Times New Roman" w:cs="Times New Roman"/>
          <w:color w:val="auto"/>
        </w:rPr>
        <w:t>o</w:t>
      </w:r>
      <w:r w:rsidRPr="0089786D">
        <w:rPr>
          <w:rFonts w:ascii="Times New Roman" w:hAnsi="Times New Roman" w:cs="Times New Roman"/>
          <w:color w:val="auto"/>
        </w:rPr>
        <w:t>kul</w:t>
      </w:r>
      <w:r w:rsidR="007B2AD9" w:rsidRPr="0089786D">
        <w:rPr>
          <w:rFonts w:ascii="Times New Roman" w:hAnsi="Times New Roman" w:cs="Times New Roman"/>
          <w:color w:val="auto"/>
        </w:rPr>
        <w:t>u</w:t>
      </w:r>
      <w:r w:rsidRPr="0089786D">
        <w:rPr>
          <w:rFonts w:ascii="Times New Roman" w:hAnsi="Times New Roman" w:cs="Times New Roman"/>
          <w:color w:val="auto"/>
        </w:rPr>
        <w:t xml:space="preserve"> Müdürlüğü tarafından yapılır. İlgili akademik birimler söz konusu programların açılmasında YÖK’ün</w:t>
      </w:r>
      <w:r w:rsidR="007B2AD9" w:rsidRPr="0089786D">
        <w:rPr>
          <w:rFonts w:ascii="Times New Roman" w:hAnsi="Times New Roman" w:cs="Times New Roman"/>
          <w:color w:val="auto"/>
        </w:rPr>
        <w:t xml:space="preserve"> Meslek Yüksekokulu Bünyesinde Bölüm Program Açılması,</w:t>
      </w:r>
      <w:r w:rsidRPr="0089786D">
        <w:rPr>
          <w:rFonts w:ascii="Times New Roman" w:hAnsi="Times New Roman" w:cs="Times New Roman"/>
          <w:color w:val="auto"/>
        </w:rPr>
        <w:t xml:space="preserve"> Lisans Programı Açma Ölçütleri, Yüksek Lisans Programı Açma Ölçütleri ve Doktora Programı Açma Ölçütlerini dikkate alarak yeni bölüme / programa duyulan ihtiyaç doğrultusunda, bölüm / program için gerekli sayı ve nitelikte akademik ve idari personeli nasıl ve nereden temin edeceklerini, derslik, </w:t>
      </w:r>
      <w:r w:rsidR="007B2AD9" w:rsidRPr="0089786D">
        <w:rPr>
          <w:rFonts w:ascii="Times New Roman" w:hAnsi="Times New Roman" w:cs="Times New Roman"/>
          <w:color w:val="auto"/>
        </w:rPr>
        <w:t>laboratuvar</w:t>
      </w:r>
      <w:r w:rsidRPr="0089786D">
        <w:rPr>
          <w:rFonts w:ascii="Times New Roman" w:hAnsi="Times New Roman" w:cs="Times New Roman"/>
          <w:color w:val="auto"/>
        </w:rPr>
        <w:t xml:space="preserve"> vb. fiziki alt yapı gereksinimlerini nasıl karşılayacaklarını planlarlar. Bölüm/program açma ile ilgili işlemler Lisans ve Önlisans programlarında </w:t>
      </w:r>
      <w:r w:rsidR="00786F63" w:rsidRPr="0089786D">
        <w:rPr>
          <w:rFonts w:ascii="Times New Roman" w:hAnsi="Times New Roman" w:cs="Times New Roman"/>
          <w:color w:val="auto"/>
        </w:rPr>
        <w:t>İA-257-</w:t>
      </w:r>
      <w:r w:rsidRPr="0089786D">
        <w:rPr>
          <w:rFonts w:ascii="Times New Roman" w:hAnsi="Times New Roman" w:cs="Times New Roman"/>
          <w:color w:val="auto"/>
        </w:rPr>
        <w:t>Bölüm Program Açma İş Akışı ile yürütülür</w:t>
      </w:r>
      <w:r w:rsidR="007B2AD9" w:rsidRPr="0089786D">
        <w:rPr>
          <w:rFonts w:ascii="Times New Roman" w:hAnsi="Times New Roman" w:cs="Times New Roman"/>
          <w:color w:val="auto"/>
        </w:rPr>
        <w:t>.</w:t>
      </w:r>
      <w:r w:rsidRPr="0089786D">
        <w:rPr>
          <w:rFonts w:ascii="Times New Roman" w:hAnsi="Times New Roman" w:cs="Times New Roman"/>
          <w:color w:val="auto"/>
        </w:rPr>
        <w:t xml:space="preserve"> Lisansüstü programlarda ise </w:t>
      </w:r>
      <w:r w:rsidR="00786F63" w:rsidRPr="0089786D">
        <w:rPr>
          <w:rFonts w:ascii="Times New Roman" w:hAnsi="Times New Roman" w:cs="Times New Roman"/>
          <w:color w:val="auto"/>
        </w:rPr>
        <w:t>İA-321-</w:t>
      </w:r>
      <w:r w:rsidRPr="0089786D">
        <w:rPr>
          <w:rFonts w:ascii="Times New Roman" w:hAnsi="Times New Roman" w:cs="Times New Roman"/>
          <w:color w:val="auto"/>
        </w:rPr>
        <w:t>Lisansüstü Program Açma İş Akışı izleyerek gerçekleştirirler.</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kurulacak uygulama ve araştırma merkezlerine ilişkin plan ve hazırlıklar üniversite senatosu kararı ile birlikte bir dosya halinde Yükseköğretim Kurulu’na iletilir.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5.4 Tasarım ve Geliştirme Girdilerinin ve Çıktılarının Tanımlanması</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bölüm / program ve ders açma ile ilgili girdiler öğrencilerin, öğretim elemanlarının ve iş dünyasının talepleri ve üniversitedeki akademik birimlerin derslik, laboratuvar vb. fiziki alt yapı olanakları ile yeni bölümün / programın ve dersin gerektirdiği uzmanlığa sahip öğretim </w:t>
      </w:r>
      <w:r w:rsidRPr="0089786D">
        <w:rPr>
          <w:rFonts w:ascii="Times New Roman" w:hAnsi="Times New Roman" w:cs="Times New Roman"/>
          <w:color w:val="auto"/>
        </w:rPr>
        <w:lastRenderedPageBreak/>
        <w:t xml:space="preserve">elemanı sayısıdır.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bölüm / program ve dersleri açma konusunda YÖK’ün düzenlemeleri ve üniversitenin iç düzenlemeleri ile aşağıdaki iş akış süreçleri de eğitim ve öğretim hizmetlerinin tasarımı ve geliştirilmesi sürecinin girdilerini tanımlamaktadır.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Tasarım ve geliştirme sürecinin çıktıları, öğrencilerin söz konusu yeni bölüm / programlara kayıt olma ve dersleri seçmeleri ve bu bölüm / program ve derslerdeki memnuniyet düzeyleridir.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kurulan uygulama ve araştırma merkezlerinin gerçekleştirdikleri kongre, panel, toplantı gibi faaliyetler ve tamamladıkları bilimsel projeler söz konusu merkezlerin çıktılarını oluşturur.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5.5 Tasarım ve Geliştirmenin Gözden Geçirilmesi</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bölüm / program, merkez ve derslerle ilgili tasarım ve geliştirmenin gözden geçirilmesi işlemi Fakültelerde bölüm ve fakülte kurullarınca, enstitülerle enstitü kurullarınca, yüksekokul ve meslek yüksekokullarında bölüm ve yüksekokul kurullarınca yapılır.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İlgili kurullar yeni açılacak bölüm / program, merkez ve derslerin öğrencilerin, öğretim elemanlarının ve iş dünyasının ihtiyaç ve beklentilerine ne ölçüde cevap vereceğini hazırlanan planlar kapsamında değerlendirir, varsa belirlenen eksikliklerin ve aksaklıkların giderilmesi için tasarım ve geliştirme sürecinin önceki aşamalarına geri dönülür. </w:t>
      </w:r>
    </w:p>
    <w:p w:rsidR="006C5273"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yayın çalışmalarında öğretim elemanının yayın talebi anabilim dalı başkanlığınca incelenerek bölüm başkanlığına, oradan da Fakülte, Enstitü, Yüksek Okul, Meslek Yüksek Okulu Yayın Kuruluna iletilir. Yayın kurulu yayının şekil ve içerik denetimini yaparak Fakültelerde dekanlıklara, Enstitü, yüksekokul ve meslek yüksekokullarında müdürlüklere yayınla ilgili raporunu iletir.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5.6 Tasarım ve Geliştirmenin Doğrulanması</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bölüm / program, merkez ve ders açılmasına ilişkin fakülte, enstitü, yüksekokul, meslek yüksekokulu ve bölüm kurullarınca yapılan gözden geçirmenin ardından hazırlanan eğitim ve öğretim hizmetleri tasarım ve geliştirmeleri üniversite senatosuna iletilir.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Senato, yeni bölüm / program, merkez ve derslerin ihtiyaçlara ve mevzuata uygunluğunu dikkate alarak tasarım ve geliştirmelerle ilgili doğrulamayı yaparak son kararı verir. Kararın olumlu olması durumunda yeni bölüm, program ve merkezlerin açılmasına ilişkin dosyayı YÖK’e iletir. Yeni derslerin açılma kararını onaylayarak yürürlüğe koyulması </w:t>
      </w:r>
      <w:r w:rsidRPr="0089786D">
        <w:rPr>
          <w:rFonts w:ascii="Times New Roman" w:hAnsi="Times New Roman" w:cs="Times New Roman"/>
          <w:color w:val="auto"/>
        </w:rPr>
        <w:lastRenderedPageBreak/>
        <w:t xml:space="preserve">için ilgili birimlere yetki verir. </w:t>
      </w:r>
    </w:p>
    <w:p w:rsidR="00BF3A1F"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5.7 Tasarım ve Geliştirmenin Geçerliliğinin Test Edilmesi</w:t>
      </w:r>
      <w:r w:rsidRPr="0089786D">
        <w:rPr>
          <w:rFonts w:ascii="Times New Roman" w:hAnsi="Times New Roman" w:cs="Times New Roman"/>
          <w:color w:val="auto"/>
        </w:rPr>
        <w:t xml:space="preserve"> </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bölüm / program, merkez ve derslerle ilgili hizmet tasarım ve geliştirmelerinin geçerliliği öğrencilerin, öğretim elemanlarının ve ilgili birim kurullarının yeni bölüm / program, merkez ve derslerle ilgili memnuniyetleri ölçülerek yapılır. Her dönem sonunda yapılan öğrenci memnuniyet anketleri yeni açılan bölüm / program ve derslerle ilgili geçerliliğin test edilmesinde kullanılır. </w:t>
      </w:r>
    </w:p>
    <w:p w:rsidR="006C5273"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Öğrenci memnuniyet anketlerinin yanı sıra, ilgili bölüm / fakülte / enstitü / yüksekokul kurullarında yapılan toplantılar da bölüme / programa ve derslere ilişkin geçerliliğin test edilmesinde kullanılır. Öğrenci memnuniyet anketleri ve bölüm kurullarının değerlendirmeleri yeni açılan bölüm / program ve derslerle ilgili değişiklik yapılmasını gerektiriyorsa Düzeltici ve Ö</w:t>
      </w:r>
      <w:r w:rsidR="006C5273" w:rsidRPr="0089786D">
        <w:rPr>
          <w:rFonts w:ascii="Times New Roman" w:hAnsi="Times New Roman" w:cs="Times New Roman"/>
          <w:color w:val="auto"/>
        </w:rPr>
        <w:t xml:space="preserve">nleyici Faaliyetler Prosedürü </w:t>
      </w:r>
      <w:r w:rsidRPr="0089786D">
        <w:rPr>
          <w:rFonts w:ascii="Times New Roman" w:hAnsi="Times New Roman" w:cs="Times New Roman"/>
          <w:color w:val="auto"/>
        </w:rPr>
        <w:t xml:space="preserve">dikkate alınarak gerçekleştirilir. </w:t>
      </w:r>
    </w:p>
    <w:p w:rsidR="006C5273"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Yeni uygulama ve araştırma merkezlerinin açılması ile ilgili tasarım ve geliştirmelerle ilgili geçerlilik ise, merkezin planladığı hedefleri gerçekleştirip gerçekleştirmediğine göre merkezin ilgili kurullarınca test edilir. </w:t>
      </w:r>
    </w:p>
    <w:p w:rsidR="006C5273" w:rsidRPr="0089786D" w:rsidRDefault="00BF3A1F"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t>5.8 Tasarım ve Geliştirme Değişikliğinin Kontrolü</w:t>
      </w:r>
      <w:r w:rsidRPr="0089786D">
        <w:rPr>
          <w:rFonts w:ascii="Times New Roman" w:hAnsi="Times New Roman" w:cs="Times New Roman"/>
          <w:color w:val="auto"/>
        </w:rPr>
        <w:t xml:space="preserve"> </w:t>
      </w:r>
    </w:p>
    <w:p w:rsidR="006C5273"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Ders planları ve içerikleri bilimsel-teknolojik gelişmelere ve iş dünyasının beklentilerine paralel olarak güncellenir ve geliştirilir. Bu, hem öğrencilerimizin, hem de onları mezun olduklarında istihdam edecek olan kurumların memnuniyeti için önemli bir zorunluluktur. </w:t>
      </w:r>
    </w:p>
    <w:p w:rsidR="006C5273"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 xml:space="preserve">Eğitim ve öğretim hizmetlerine ilişkin tasarım ve geliştirmelerle düşünülen dersler ile ilgili işlemler bölüm kurullarınca </w:t>
      </w:r>
      <w:r w:rsidR="00972A64" w:rsidRPr="0089786D">
        <w:rPr>
          <w:rFonts w:ascii="Times New Roman" w:hAnsi="Times New Roman" w:cs="Times New Roman"/>
          <w:color w:val="auto"/>
        </w:rPr>
        <w:t xml:space="preserve">İA-276-Ders Planı </w:t>
      </w:r>
      <w:r w:rsidR="00100CB4" w:rsidRPr="0089786D">
        <w:rPr>
          <w:rFonts w:ascii="Times New Roman" w:hAnsi="Times New Roman" w:cs="Times New Roman"/>
          <w:color w:val="auto"/>
        </w:rPr>
        <w:t xml:space="preserve">Müfredatı </w:t>
      </w:r>
      <w:r w:rsidR="00972A64" w:rsidRPr="0089786D">
        <w:rPr>
          <w:rFonts w:ascii="Times New Roman" w:hAnsi="Times New Roman" w:cs="Times New Roman"/>
          <w:color w:val="auto"/>
        </w:rPr>
        <w:t xml:space="preserve">İş Akışı </w:t>
      </w:r>
      <w:r w:rsidRPr="0089786D">
        <w:rPr>
          <w:rFonts w:ascii="Times New Roman" w:hAnsi="Times New Roman" w:cs="Times New Roman"/>
          <w:color w:val="auto"/>
        </w:rPr>
        <w:t>i</w:t>
      </w:r>
      <w:r w:rsidR="006C5273" w:rsidRPr="0089786D">
        <w:rPr>
          <w:rFonts w:ascii="Times New Roman" w:hAnsi="Times New Roman" w:cs="Times New Roman"/>
          <w:color w:val="auto"/>
        </w:rPr>
        <w:t>zlenerek gerçekleştirilir.</w:t>
      </w:r>
    </w:p>
    <w:p w:rsidR="00BF3A1F" w:rsidRPr="0089786D" w:rsidRDefault="00BF3A1F" w:rsidP="0089786D">
      <w:pPr>
        <w:spacing w:line="360" w:lineRule="auto"/>
        <w:ind w:firstLine="708"/>
        <w:jc w:val="both"/>
        <w:rPr>
          <w:rFonts w:ascii="Times New Roman" w:hAnsi="Times New Roman" w:cs="Times New Roman"/>
          <w:color w:val="auto"/>
        </w:rPr>
      </w:pPr>
      <w:r w:rsidRPr="0089786D">
        <w:rPr>
          <w:rFonts w:ascii="Times New Roman" w:hAnsi="Times New Roman" w:cs="Times New Roman"/>
          <w:color w:val="auto"/>
        </w:rPr>
        <w:t>Yapılan tasarım ve geliştirme değişiklikleri öğrencilerden ve bölüm kurullarından alınacak geri bildirimler ile kontrol edilir. Yapılan değişikliklerin daha önce ortaya çıkan uygunsuzlukları giderip gidermediği, yeni uygunsuzlukların ortaya çıkmasını önleyip önlemediği kontrol edilir.</w:t>
      </w:r>
    </w:p>
    <w:p w:rsidR="000B4DFB" w:rsidRPr="0089786D" w:rsidRDefault="000B4DFB" w:rsidP="0089786D">
      <w:pPr>
        <w:spacing w:line="360" w:lineRule="auto"/>
        <w:jc w:val="both"/>
        <w:rPr>
          <w:rFonts w:ascii="Times New Roman" w:hAnsi="Times New Roman" w:cs="Times New Roman"/>
          <w:b/>
          <w:color w:val="auto"/>
        </w:rPr>
      </w:pPr>
    </w:p>
    <w:p w:rsidR="000B4DFB" w:rsidRDefault="000B4DFB" w:rsidP="0089786D">
      <w:pPr>
        <w:spacing w:line="360" w:lineRule="auto"/>
        <w:jc w:val="both"/>
        <w:rPr>
          <w:rFonts w:ascii="Times New Roman" w:hAnsi="Times New Roman" w:cs="Times New Roman"/>
          <w:b/>
          <w:color w:val="auto"/>
        </w:rPr>
      </w:pPr>
    </w:p>
    <w:p w:rsidR="0089786D" w:rsidRDefault="0089786D" w:rsidP="0089786D">
      <w:pPr>
        <w:spacing w:line="360" w:lineRule="auto"/>
        <w:jc w:val="both"/>
        <w:rPr>
          <w:rFonts w:ascii="Times New Roman" w:hAnsi="Times New Roman" w:cs="Times New Roman"/>
          <w:b/>
          <w:color w:val="auto"/>
        </w:rPr>
      </w:pPr>
    </w:p>
    <w:p w:rsidR="0089786D" w:rsidRPr="0089786D" w:rsidRDefault="0089786D" w:rsidP="0089786D">
      <w:pPr>
        <w:spacing w:line="360" w:lineRule="auto"/>
        <w:jc w:val="both"/>
        <w:rPr>
          <w:rFonts w:ascii="Times New Roman" w:hAnsi="Times New Roman" w:cs="Times New Roman"/>
          <w:b/>
          <w:color w:val="auto"/>
        </w:rPr>
      </w:pPr>
      <w:bookmarkStart w:id="0" w:name="_GoBack"/>
      <w:bookmarkEnd w:id="0"/>
    </w:p>
    <w:p w:rsidR="00732C69" w:rsidRPr="0089786D" w:rsidRDefault="00732C69" w:rsidP="0089786D">
      <w:pPr>
        <w:spacing w:line="360" w:lineRule="auto"/>
        <w:jc w:val="both"/>
        <w:rPr>
          <w:rFonts w:ascii="Times New Roman" w:hAnsi="Times New Roman" w:cs="Times New Roman"/>
          <w:color w:val="auto"/>
        </w:rPr>
      </w:pPr>
      <w:r w:rsidRPr="0089786D">
        <w:rPr>
          <w:rFonts w:ascii="Times New Roman" w:hAnsi="Times New Roman" w:cs="Times New Roman"/>
          <w:b/>
          <w:color w:val="auto"/>
        </w:rPr>
        <w:lastRenderedPageBreak/>
        <w:t>6. İLGİLİ DOKÜMANLAR</w:t>
      </w:r>
      <w:r w:rsidRPr="0089786D">
        <w:rPr>
          <w:rFonts w:ascii="Times New Roman" w:hAnsi="Times New Roman" w:cs="Times New Roman"/>
          <w:color w:val="auto"/>
        </w:rPr>
        <w:t xml:space="preserve"> </w:t>
      </w:r>
    </w:p>
    <w:p w:rsidR="00732C69" w:rsidRPr="0089786D" w:rsidRDefault="00732C69" w:rsidP="0089786D">
      <w:pPr>
        <w:pStyle w:val="ListeParagraf"/>
        <w:numPr>
          <w:ilvl w:val="0"/>
          <w:numId w:val="9"/>
        </w:numPr>
        <w:spacing w:line="360" w:lineRule="auto"/>
        <w:jc w:val="both"/>
        <w:rPr>
          <w:rFonts w:ascii="Times New Roman" w:hAnsi="Times New Roman" w:cs="Times New Roman"/>
          <w:color w:val="auto"/>
        </w:rPr>
      </w:pPr>
      <w:r w:rsidRPr="0089786D">
        <w:rPr>
          <w:rFonts w:ascii="Times New Roman" w:hAnsi="Times New Roman" w:cs="Times New Roman"/>
          <w:color w:val="auto"/>
        </w:rPr>
        <w:t>2547 Sayılı Yükseköğretim Kanunu</w:t>
      </w:r>
    </w:p>
    <w:p w:rsidR="00732C69" w:rsidRPr="0089786D" w:rsidRDefault="00732C69" w:rsidP="0089786D">
      <w:pPr>
        <w:pStyle w:val="ListeParagraf"/>
        <w:numPr>
          <w:ilvl w:val="0"/>
          <w:numId w:val="9"/>
        </w:numPr>
        <w:spacing w:line="360" w:lineRule="auto"/>
        <w:jc w:val="both"/>
        <w:rPr>
          <w:rFonts w:ascii="Times New Roman" w:hAnsi="Times New Roman" w:cs="Times New Roman"/>
          <w:color w:val="auto"/>
        </w:rPr>
      </w:pPr>
      <w:r w:rsidRPr="0089786D">
        <w:rPr>
          <w:rFonts w:ascii="Times New Roman" w:hAnsi="Times New Roman" w:cs="Times New Roman"/>
          <w:color w:val="auto"/>
        </w:rPr>
        <w:t xml:space="preserve">Yükseköğretim Kurumlarının Yurtdışı Yükseköğretim Kurumlarıyla Ortak Eğitim ve Öğretim Programlarına Dair Yönetmelik </w:t>
      </w:r>
    </w:p>
    <w:p w:rsidR="00732C69" w:rsidRPr="0089786D" w:rsidRDefault="00732C69" w:rsidP="0089786D">
      <w:pPr>
        <w:pStyle w:val="ListeParagraf"/>
        <w:numPr>
          <w:ilvl w:val="0"/>
          <w:numId w:val="9"/>
        </w:numPr>
        <w:spacing w:line="360" w:lineRule="auto"/>
        <w:jc w:val="both"/>
        <w:rPr>
          <w:rFonts w:ascii="Times New Roman" w:hAnsi="Times New Roman" w:cs="Times New Roman"/>
          <w:color w:val="auto"/>
        </w:rPr>
      </w:pPr>
      <w:r w:rsidRPr="0089786D">
        <w:rPr>
          <w:rFonts w:ascii="Times New Roman" w:hAnsi="Times New Roman" w:cs="Times New Roman"/>
          <w:color w:val="auto"/>
        </w:rPr>
        <w:t>Batman Üniversitesi Ön Lisans, Lisans Eğitim Öğretim ve Sınav Yönetmeliği</w:t>
      </w:r>
    </w:p>
    <w:p w:rsidR="00732C69" w:rsidRPr="0089786D" w:rsidRDefault="00732C69" w:rsidP="0089786D">
      <w:pPr>
        <w:pStyle w:val="ListeParagraf"/>
        <w:numPr>
          <w:ilvl w:val="0"/>
          <w:numId w:val="9"/>
        </w:numPr>
        <w:spacing w:line="360" w:lineRule="auto"/>
        <w:jc w:val="both"/>
        <w:rPr>
          <w:rFonts w:ascii="Times New Roman" w:hAnsi="Times New Roman" w:cs="Times New Roman"/>
          <w:color w:val="auto"/>
        </w:rPr>
      </w:pPr>
      <w:r w:rsidRPr="0089786D">
        <w:rPr>
          <w:rFonts w:ascii="Times New Roman" w:hAnsi="Times New Roman" w:cs="Times New Roman"/>
          <w:color w:val="auto"/>
        </w:rPr>
        <w:t>Batman Üniversitesi Lisansüstü Eğitim-Öğretim Sınav Yönetmeliği</w:t>
      </w:r>
    </w:p>
    <w:sectPr w:rsidR="00732C69" w:rsidRPr="0089786D" w:rsidSect="0089786D">
      <w:headerReference w:type="default" r:id="rId8"/>
      <w:footerReference w:type="default" r:id="rId9"/>
      <w:type w:val="continuous"/>
      <w:pgSz w:w="11900" w:h="16840"/>
      <w:pgMar w:top="289" w:right="1417" w:bottom="1417" w:left="1417"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26" w:rsidRDefault="006D5C26" w:rsidP="004252A9">
      <w:r>
        <w:separator/>
      </w:r>
    </w:p>
  </w:endnote>
  <w:endnote w:type="continuationSeparator" w:id="0">
    <w:p w:rsidR="006D5C26" w:rsidRDefault="006D5C26" w:rsidP="00425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2804"/>
    </w:tblGrid>
    <w:tr w:rsidR="001D1B35" w:rsidRPr="00192AC1" w:rsidTr="001B5B4C">
      <w:trPr>
        <w:trHeight w:val="747"/>
      </w:trPr>
      <w:tc>
        <w:tcPr>
          <w:tcW w:w="3259" w:type="dxa"/>
          <w:shd w:val="clear" w:color="auto" w:fill="auto"/>
        </w:tcPr>
        <w:p w:rsidR="001D1B35" w:rsidRPr="00192AC1" w:rsidRDefault="00D25526" w:rsidP="002B4506">
          <w:pPr>
            <w:pStyle w:val="Altbilgi"/>
            <w:jc w:val="center"/>
            <w:rPr>
              <w:rFonts w:ascii="Times New Roman" w:hAnsi="Times New Roman"/>
              <w:sz w:val="20"/>
            </w:rPr>
          </w:pPr>
          <w:r>
            <w:rPr>
              <w:rFonts w:ascii="Times New Roman" w:hAnsi="Times New Roman"/>
              <w:sz w:val="20"/>
            </w:rPr>
            <w:t>HAZIRLAYAN</w:t>
          </w:r>
        </w:p>
      </w:tc>
      <w:tc>
        <w:tcPr>
          <w:tcW w:w="3259" w:type="dxa"/>
          <w:shd w:val="clear" w:color="auto" w:fill="auto"/>
        </w:tcPr>
        <w:p w:rsidR="001D1B35" w:rsidRPr="00192AC1" w:rsidRDefault="00D25526" w:rsidP="002B4506">
          <w:pPr>
            <w:pStyle w:val="Altbilgi"/>
            <w:jc w:val="center"/>
            <w:rPr>
              <w:rFonts w:ascii="Times New Roman" w:hAnsi="Times New Roman"/>
              <w:sz w:val="20"/>
            </w:rPr>
          </w:pPr>
          <w:r>
            <w:rPr>
              <w:rFonts w:ascii="Times New Roman" w:hAnsi="Times New Roman"/>
              <w:sz w:val="20"/>
            </w:rPr>
            <w:t>KONTROL EDEN</w:t>
          </w:r>
        </w:p>
      </w:tc>
      <w:tc>
        <w:tcPr>
          <w:tcW w:w="2804" w:type="dxa"/>
          <w:shd w:val="clear" w:color="auto" w:fill="auto"/>
        </w:tcPr>
        <w:p w:rsidR="001D1B35" w:rsidRPr="00192AC1" w:rsidRDefault="00D25526" w:rsidP="002B4506">
          <w:pPr>
            <w:pStyle w:val="Altbilgi"/>
            <w:jc w:val="center"/>
            <w:rPr>
              <w:rFonts w:ascii="Times New Roman" w:hAnsi="Times New Roman"/>
              <w:sz w:val="20"/>
            </w:rPr>
          </w:pPr>
          <w:r>
            <w:rPr>
              <w:rFonts w:ascii="Times New Roman" w:hAnsi="Times New Roman"/>
              <w:sz w:val="20"/>
            </w:rPr>
            <w:t>ONAYLAYAN</w:t>
          </w:r>
        </w:p>
      </w:tc>
    </w:tr>
  </w:tbl>
  <w:p w:rsidR="001D1B35" w:rsidRDefault="001D1B3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26" w:rsidRDefault="006D5C26"/>
  </w:footnote>
  <w:footnote w:type="continuationSeparator" w:id="0">
    <w:p w:rsidR="006D5C26" w:rsidRDefault="006D5C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B35" w:rsidRDefault="001D1B35">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1"/>
      <w:gridCol w:w="4953"/>
      <w:gridCol w:w="1481"/>
      <w:gridCol w:w="1259"/>
    </w:tblGrid>
    <w:tr w:rsidR="006A05D1" w:rsidRPr="00151E02" w:rsidTr="006A05D1">
      <w:trPr>
        <w:trHeight w:val="276"/>
      </w:trPr>
      <w:tc>
        <w:tcPr>
          <w:tcW w:w="1298" w:type="dxa"/>
          <w:vMerge w:val="restart"/>
          <w:vAlign w:val="center"/>
        </w:tcPr>
        <w:p w:rsidR="006A05D1" w:rsidRPr="00FD0360" w:rsidRDefault="00DB484B" w:rsidP="002B4506">
          <w:pPr>
            <w:pStyle w:val="stbilgi"/>
            <w:jc w:val="center"/>
            <w:rPr>
              <w:rFonts w:ascii="Arial" w:hAnsi="Arial" w:cs="Arial"/>
            </w:rPr>
          </w:pPr>
          <w:r>
            <w:rPr>
              <w:noProof/>
              <w:lang w:bidi="ar-SA"/>
            </w:rPr>
            <w:drawing>
              <wp:inline distT="0" distB="0" distL="0" distR="0" wp14:anchorId="19D08777" wp14:editId="6FE9A2FD">
                <wp:extent cx="803275" cy="64389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5099" w:type="dxa"/>
          <w:vMerge w:val="restart"/>
          <w:vAlign w:val="center"/>
        </w:tcPr>
        <w:p w:rsidR="00A4498A" w:rsidRPr="00BF3A1F" w:rsidRDefault="00A4498A" w:rsidP="00A4498A">
          <w:pPr>
            <w:pStyle w:val="stbilgi"/>
            <w:jc w:val="center"/>
            <w:rPr>
              <w:rFonts w:ascii="Times New Roman" w:hAnsi="Times New Roman" w:cs="Times New Roman"/>
              <w:b/>
            </w:rPr>
          </w:pPr>
          <w:r w:rsidRPr="00BF3A1F">
            <w:rPr>
              <w:rFonts w:ascii="Times New Roman" w:hAnsi="Times New Roman" w:cs="Times New Roman"/>
              <w:b/>
            </w:rPr>
            <w:t xml:space="preserve">BATMAN ÜNİVERSİTESİ </w:t>
          </w:r>
        </w:p>
        <w:p w:rsidR="006A05D1" w:rsidRPr="002E60EA" w:rsidRDefault="002E60EA" w:rsidP="00BF3A1F">
          <w:pPr>
            <w:pStyle w:val="stbilgi"/>
            <w:jc w:val="center"/>
            <w:rPr>
              <w:rFonts w:ascii="Times New Roman" w:hAnsi="Times New Roman" w:cs="Times New Roman"/>
              <w:b/>
            </w:rPr>
          </w:pPr>
          <w:r w:rsidRPr="00BF3A1F">
            <w:rPr>
              <w:rFonts w:ascii="Times New Roman" w:hAnsi="Times New Roman" w:cs="Times New Roman"/>
              <w:b/>
            </w:rPr>
            <w:t xml:space="preserve">EĞİTİM ÖĞRETİM HİZMETLERİNİN </w:t>
          </w:r>
          <w:r w:rsidR="00BF3A1F" w:rsidRPr="00BF3A1F">
            <w:rPr>
              <w:rFonts w:ascii="Times New Roman" w:hAnsi="Times New Roman" w:cs="Times New Roman"/>
              <w:b/>
            </w:rPr>
            <w:t>TASARIMI VE GELİŞTİRİLMESİ</w:t>
          </w:r>
          <w:r w:rsidRPr="00BF3A1F">
            <w:rPr>
              <w:rFonts w:ascii="Times New Roman" w:hAnsi="Times New Roman" w:cs="Times New Roman"/>
              <w:b/>
            </w:rPr>
            <w:t xml:space="preserve"> PROSEDÜRÜ</w:t>
          </w: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Doküman No</w:t>
          </w:r>
        </w:p>
      </w:tc>
      <w:tc>
        <w:tcPr>
          <w:tcW w:w="1266" w:type="dxa"/>
          <w:vAlign w:val="center"/>
        </w:tcPr>
        <w:p w:rsidR="006A05D1" w:rsidRPr="009A068A" w:rsidRDefault="00475349" w:rsidP="00475349">
          <w:pPr>
            <w:pStyle w:val="stbilgi"/>
            <w:rPr>
              <w:rFonts w:ascii="Times New Roman" w:eastAsia="Times New Roman" w:hAnsi="Times New Roman"/>
              <w:snapToGrid w:val="0"/>
              <w:sz w:val="18"/>
              <w:szCs w:val="18"/>
            </w:rPr>
          </w:pPr>
          <w:r>
            <w:rPr>
              <w:rFonts w:ascii="Times New Roman" w:eastAsia="Times New Roman" w:hAnsi="Times New Roman"/>
              <w:snapToGrid w:val="0"/>
              <w:sz w:val="18"/>
              <w:szCs w:val="18"/>
            </w:rPr>
            <w:t>ÖİB</w:t>
          </w:r>
          <w:r w:rsidR="006D67F6">
            <w:rPr>
              <w:rFonts w:ascii="Times New Roman" w:eastAsia="Times New Roman" w:hAnsi="Times New Roman"/>
              <w:snapToGrid w:val="0"/>
              <w:sz w:val="18"/>
              <w:szCs w:val="18"/>
            </w:rPr>
            <w:t>-</w:t>
          </w:r>
          <w:r w:rsidR="007223A6">
            <w:rPr>
              <w:rFonts w:ascii="Times New Roman" w:eastAsia="Times New Roman" w:hAnsi="Times New Roman"/>
              <w:snapToGrid w:val="0"/>
              <w:sz w:val="18"/>
              <w:szCs w:val="18"/>
            </w:rPr>
            <w:t>PR-0</w:t>
          </w:r>
          <w:r w:rsidR="006D67F6">
            <w:rPr>
              <w:rFonts w:ascii="Times New Roman" w:eastAsia="Times New Roman" w:hAnsi="Times New Roman"/>
              <w:snapToGrid w:val="0"/>
              <w:sz w:val="18"/>
              <w:szCs w:val="18"/>
            </w:rPr>
            <w:t>08</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İlk Yayın Tarihi</w:t>
          </w:r>
        </w:p>
      </w:tc>
      <w:tc>
        <w:tcPr>
          <w:tcW w:w="1266" w:type="dxa"/>
          <w:vAlign w:val="center"/>
        </w:tcPr>
        <w:p w:rsidR="006A05D1" w:rsidRPr="009A068A" w:rsidRDefault="006A05D1" w:rsidP="00174647">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05.</w:t>
          </w:r>
          <w:r w:rsidR="00174647">
            <w:rPr>
              <w:rFonts w:ascii="Times New Roman" w:eastAsia="Times New Roman" w:hAnsi="Times New Roman"/>
              <w:snapToGrid w:val="0"/>
              <w:sz w:val="18"/>
              <w:szCs w:val="18"/>
            </w:rPr>
            <w:t>05.2020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Tarihi</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Revizyon No</w:t>
          </w:r>
        </w:p>
      </w:tc>
      <w:tc>
        <w:tcPr>
          <w:tcW w:w="1266" w:type="dxa"/>
          <w:vAlign w:val="center"/>
        </w:tcPr>
        <w:p w:rsidR="006A05D1" w:rsidRPr="009A068A" w:rsidRDefault="006A05D1" w:rsidP="00005F64">
          <w:pPr>
            <w:pStyle w:val="stbilgi"/>
            <w:rPr>
              <w:rFonts w:ascii="Times New Roman" w:eastAsia="Times New Roman" w:hAnsi="Times New Roman"/>
              <w:snapToGrid w:val="0"/>
              <w:sz w:val="18"/>
              <w:szCs w:val="18"/>
            </w:rPr>
          </w:pPr>
          <w:r w:rsidRPr="009A068A">
            <w:rPr>
              <w:rFonts w:ascii="Times New Roman" w:eastAsia="Times New Roman" w:hAnsi="Times New Roman"/>
              <w:snapToGrid w:val="0"/>
              <w:sz w:val="18"/>
              <w:szCs w:val="18"/>
            </w:rPr>
            <w:t>00</w:t>
          </w:r>
        </w:p>
      </w:tc>
    </w:tr>
    <w:tr w:rsidR="006A05D1" w:rsidRPr="00151E02" w:rsidTr="006A05D1">
      <w:trPr>
        <w:trHeight w:val="276"/>
      </w:trPr>
      <w:tc>
        <w:tcPr>
          <w:tcW w:w="1298" w:type="dxa"/>
          <w:vMerge/>
          <w:vAlign w:val="center"/>
        </w:tcPr>
        <w:p w:rsidR="006A05D1" w:rsidRPr="00FD0360" w:rsidRDefault="006A05D1" w:rsidP="002B4506">
          <w:pPr>
            <w:pStyle w:val="stbilgi"/>
            <w:jc w:val="center"/>
            <w:rPr>
              <w:rFonts w:ascii="Arial" w:hAnsi="Arial" w:cs="Arial"/>
            </w:rPr>
          </w:pPr>
        </w:p>
      </w:tc>
      <w:tc>
        <w:tcPr>
          <w:tcW w:w="5099" w:type="dxa"/>
          <w:vMerge/>
          <w:vAlign w:val="center"/>
        </w:tcPr>
        <w:p w:rsidR="006A05D1" w:rsidRPr="00373438" w:rsidRDefault="006A05D1" w:rsidP="002B4506">
          <w:pPr>
            <w:pStyle w:val="stbilgi"/>
            <w:jc w:val="center"/>
            <w:rPr>
              <w:rFonts w:ascii="Times New Roman" w:hAnsi="Times New Roman" w:cs="Times New Roman"/>
            </w:rPr>
          </w:pPr>
        </w:p>
      </w:tc>
      <w:tc>
        <w:tcPr>
          <w:tcW w:w="1511" w:type="dxa"/>
          <w:vAlign w:val="center"/>
        </w:tcPr>
        <w:p w:rsidR="006A05D1" w:rsidRPr="00373438" w:rsidRDefault="006A05D1" w:rsidP="002B4506">
          <w:pPr>
            <w:pStyle w:val="stbilgi"/>
            <w:rPr>
              <w:rFonts w:ascii="Times New Roman" w:hAnsi="Times New Roman" w:cs="Times New Roman"/>
              <w:sz w:val="18"/>
            </w:rPr>
          </w:pPr>
          <w:r w:rsidRPr="00373438">
            <w:rPr>
              <w:rFonts w:ascii="Times New Roman" w:hAnsi="Times New Roman" w:cs="Times New Roman"/>
              <w:sz w:val="18"/>
            </w:rPr>
            <w:t>Sayfa</w:t>
          </w:r>
          <w:r>
            <w:rPr>
              <w:rFonts w:ascii="Times New Roman" w:hAnsi="Times New Roman" w:cs="Times New Roman"/>
              <w:sz w:val="18"/>
            </w:rPr>
            <w:t xml:space="preserve"> No</w:t>
          </w:r>
        </w:p>
      </w:tc>
      <w:tc>
        <w:tcPr>
          <w:tcW w:w="1266" w:type="dxa"/>
          <w:vAlign w:val="center"/>
        </w:tcPr>
        <w:sdt>
          <w:sdtPr>
            <w:id w:val="39023772"/>
            <w:docPartObj>
              <w:docPartGallery w:val="Page Numbers (Top of Page)"/>
              <w:docPartUnique/>
            </w:docPartObj>
          </w:sdtPr>
          <w:sdtEndPr/>
          <w:sdtContent>
            <w:p w:rsidR="006A05D1" w:rsidRDefault="003B6403">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PAGE </w:instrText>
              </w:r>
              <w:r w:rsidRPr="006A05D1">
                <w:rPr>
                  <w:rFonts w:ascii="Times New Roman" w:eastAsia="Times New Roman" w:hAnsi="Times New Roman"/>
                  <w:snapToGrid w:val="0"/>
                  <w:sz w:val="18"/>
                  <w:szCs w:val="18"/>
                </w:rPr>
                <w:fldChar w:fldCharType="separate"/>
              </w:r>
              <w:r w:rsidR="0089786D">
                <w:rPr>
                  <w:rFonts w:ascii="Times New Roman" w:eastAsia="Times New Roman" w:hAnsi="Times New Roman"/>
                  <w:noProof/>
                  <w:snapToGrid w:val="0"/>
                  <w:sz w:val="18"/>
                  <w:szCs w:val="18"/>
                </w:rPr>
                <w:t>4</w:t>
              </w:r>
              <w:r w:rsidRPr="006A05D1">
                <w:rPr>
                  <w:rFonts w:ascii="Times New Roman" w:eastAsia="Times New Roman" w:hAnsi="Times New Roman"/>
                  <w:snapToGrid w:val="0"/>
                  <w:sz w:val="18"/>
                  <w:szCs w:val="18"/>
                </w:rPr>
                <w:fldChar w:fldCharType="end"/>
              </w:r>
              <w:r w:rsidR="006A05D1" w:rsidRPr="006A05D1">
                <w:rPr>
                  <w:rFonts w:ascii="Times New Roman" w:eastAsia="Times New Roman" w:hAnsi="Times New Roman"/>
                  <w:snapToGrid w:val="0"/>
                  <w:sz w:val="18"/>
                  <w:szCs w:val="18"/>
                </w:rPr>
                <w:t xml:space="preserve"> / </w:t>
              </w:r>
              <w:r w:rsidRPr="006A05D1">
                <w:rPr>
                  <w:rFonts w:ascii="Times New Roman" w:eastAsia="Times New Roman" w:hAnsi="Times New Roman"/>
                  <w:snapToGrid w:val="0"/>
                  <w:sz w:val="18"/>
                  <w:szCs w:val="18"/>
                </w:rPr>
                <w:fldChar w:fldCharType="begin"/>
              </w:r>
              <w:r w:rsidR="006A05D1" w:rsidRPr="006A05D1">
                <w:rPr>
                  <w:rFonts w:ascii="Times New Roman" w:eastAsia="Times New Roman" w:hAnsi="Times New Roman"/>
                  <w:snapToGrid w:val="0"/>
                  <w:sz w:val="18"/>
                  <w:szCs w:val="18"/>
                </w:rPr>
                <w:instrText xml:space="preserve"> NUMPAGES  </w:instrText>
              </w:r>
              <w:r w:rsidRPr="006A05D1">
                <w:rPr>
                  <w:rFonts w:ascii="Times New Roman" w:eastAsia="Times New Roman" w:hAnsi="Times New Roman"/>
                  <w:snapToGrid w:val="0"/>
                  <w:sz w:val="18"/>
                  <w:szCs w:val="18"/>
                </w:rPr>
                <w:fldChar w:fldCharType="separate"/>
              </w:r>
              <w:r w:rsidR="0089786D">
                <w:rPr>
                  <w:rFonts w:ascii="Times New Roman" w:eastAsia="Times New Roman" w:hAnsi="Times New Roman"/>
                  <w:noProof/>
                  <w:snapToGrid w:val="0"/>
                  <w:sz w:val="18"/>
                  <w:szCs w:val="18"/>
                </w:rPr>
                <w:t>5</w:t>
              </w:r>
              <w:r w:rsidRPr="006A05D1">
                <w:rPr>
                  <w:rFonts w:ascii="Times New Roman" w:eastAsia="Times New Roman" w:hAnsi="Times New Roman"/>
                  <w:snapToGrid w:val="0"/>
                  <w:sz w:val="18"/>
                  <w:szCs w:val="18"/>
                </w:rPr>
                <w:fldChar w:fldCharType="end"/>
              </w:r>
            </w:p>
          </w:sdtContent>
        </w:sdt>
        <w:p w:rsidR="006A05D1" w:rsidRPr="00FD0360" w:rsidRDefault="006A05D1" w:rsidP="002B4506">
          <w:pPr>
            <w:pStyle w:val="stbilgi"/>
            <w:rPr>
              <w:rFonts w:ascii="Arial" w:hAnsi="Arial" w:cs="Arial"/>
              <w:b/>
              <w:sz w:val="18"/>
            </w:rPr>
          </w:pPr>
        </w:p>
      </w:tc>
    </w:tr>
  </w:tbl>
  <w:p w:rsidR="001D1B35" w:rsidRDefault="001D1B35" w:rsidP="008978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95E1B"/>
    <w:multiLevelType w:val="hybridMultilevel"/>
    <w:tmpl w:val="E7903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CA5FD7"/>
    <w:multiLevelType w:val="hybridMultilevel"/>
    <w:tmpl w:val="F82416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9A62E6"/>
    <w:multiLevelType w:val="hybridMultilevel"/>
    <w:tmpl w:val="B4D4D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933A1F"/>
    <w:multiLevelType w:val="multilevel"/>
    <w:tmpl w:val="0FC44086"/>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nsid w:val="416F088A"/>
    <w:multiLevelType w:val="hybridMultilevel"/>
    <w:tmpl w:val="AAB8E45A"/>
    <w:lvl w:ilvl="0" w:tplc="FB4C4B40">
      <w:start w:val="1"/>
      <w:numFmt w:val="decimal"/>
      <w:lvlText w:val="%1."/>
      <w:lvlJc w:val="left"/>
      <w:pPr>
        <w:ind w:left="720" w:hanging="360"/>
      </w:pPr>
      <w:rPr>
        <w:rFonts w:ascii="Times New Roman" w:eastAsia="Arial Unicode MS"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7B5981"/>
    <w:multiLevelType w:val="multilevel"/>
    <w:tmpl w:val="14EAC284"/>
    <w:lvl w:ilvl="0">
      <w:start w:val="1"/>
      <w:numFmt w:val="decimal"/>
      <w:lvlText w:val="%1."/>
      <w:lvlJc w:val="left"/>
      <w:rPr>
        <w:rFonts w:ascii="Times New Roman" w:eastAsia="Times New Roman" w:hAnsi="Times New Roman" w:cs="Times New Roman"/>
        <w:b/>
        <w:bCs w:val="0"/>
        <w:i w:val="0"/>
        <w:iCs w:val="0"/>
        <w:smallCaps/>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7D2C51"/>
    <w:multiLevelType w:val="multilevel"/>
    <w:tmpl w:val="40F2F9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BD3972"/>
    <w:multiLevelType w:val="hybridMultilevel"/>
    <w:tmpl w:val="3708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08E22EC"/>
    <w:multiLevelType w:val="hybridMultilevel"/>
    <w:tmpl w:val="BD2A9AF6"/>
    <w:lvl w:ilvl="0" w:tplc="742C33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A9"/>
    <w:rsid w:val="000A65F9"/>
    <w:rsid w:val="000B4DFB"/>
    <w:rsid w:val="000C0D8B"/>
    <w:rsid w:val="00100CB4"/>
    <w:rsid w:val="00137DF0"/>
    <w:rsid w:val="00174647"/>
    <w:rsid w:val="00176180"/>
    <w:rsid w:val="00184A2B"/>
    <w:rsid w:val="001B5B4C"/>
    <w:rsid w:val="001D1B35"/>
    <w:rsid w:val="00205574"/>
    <w:rsid w:val="002341E8"/>
    <w:rsid w:val="002E60EA"/>
    <w:rsid w:val="002F7FF5"/>
    <w:rsid w:val="00312BDA"/>
    <w:rsid w:val="0032748B"/>
    <w:rsid w:val="003B6403"/>
    <w:rsid w:val="003B75E3"/>
    <w:rsid w:val="003E41E6"/>
    <w:rsid w:val="004252A9"/>
    <w:rsid w:val="00427113"/>
    <w:rsid w:val="00433EA6"/>
    <w:rsid w:val="00450AE1"/>
    <w:rsid w:val="00454C30"/>
    <w:rsid w:val="00475349"/>
    <w:rsid w:val="004836B3"/>
    <w:rsid w:val="004A737C"/>
    <w:rsid w:val="00513012"/>
    <w:rsid w:val="00536374"/>
    <w:rsid w:val="00583C96"/>
    <w:rsid w:val="00611F63"/>
    <w:rsid w:val="006833E6"/>
    <w:rsid w:val="006A05D1"/>
    <w:rsid w:val="006B1EB3"/>
    <w:rsid w:val="006C5273"/>
    <w:rsid w:val="006D5C26"/>
    <w:rsid w:val="006D67F6"/>
    <w:rsid w:val="0071777A"/>
    <w:rsid w:val="007223A6"/>
    <w:rsid w:val="00732C69"/>
    <w:rsid w:val="00751BAF"/>
    <w:rsid w:val="00786F63"/>
    <w:rsid w:val="007A0600"/>
    <w:rsid w:val="007B2AD9"/>
    <w:rsid w:val="007E1452"/>
    <w:rsid w:val="0089786D"/>
    <w:rsid w:val="00972A64"/>
    <w:rsid w:val="00976B87"/>
    <w:rsid w:val="009E1D14"/>
    <w:rsid w:val="009F2ED3"/>
    <w:rsid w:val="00A13445"/>
    <w:rsid w:val="00A4498A"/>
    <w:rsid w:val="00A471F4"/>
    <w:rsid w:val="00A71EEB"/>
    <w:rsid w:val="00A84774"/>
    <w:rsid w:val="00AC4C6B"/>
    <w:rsid w:val="00AE1DC0"/>
    <w:rsid w:val="00BD55EF"/>
    <w:rsid w:val="00BF3A1F"/>
    <w:rsid w:val="00C04D20"/>
    <w:rsid w:val="00C06DDD"/>
    <w:rsid w:val="00C63E8F"/>
    <w:rsid w:val="00C77A47"/>
    <w:rsid w:val="00CD5FD6"/>
    <w:rsid w:val="00D25526"/>
    <w:rsid w:val="00DB484B"/>
    <w:rsid w:val="00E4767C"/>
    <w:rsid w:val="00EC173F"/>
    <w:rsid w:val="00F23FF6"/>
    <w:rsid w:val="00F444D4"/>
    <w:rsid w:val="00F86796"/>
    <w:rsid w:val="00FC101F"/>
    <w:rsid w:val="00FD0FA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52A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4252A9"/>
    <w:rPr>
      <w:color w:val="0066CC"/>
      <w:u w:val="single"/>
    </w:rPr>
  </w:style>
  <w:style w:type="character" w:customStyle="1" w:styleId="Gvdemetni3Exact">
    <w:name w:val="Gövde metni (3) Exact"/>
    <w:basedOn w:val="VarsaylanParagrafYazTipi"/>
    <w:link w:val="Gvdemetni3"/>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3KkBykHarfExact">
    <w:name w:val="Gövde metni (3) + Küçük Büyük Harf Exact"/>
    <w:basedOn w:val="Gvdemetni3Exact"/>
    <w:rsid w:val="004252A9"/>
    <w:rPr>
      <w:rFonts w:ascii="Times New Roman" w:eastAsia="Times New Roman" w:hAnsi="Times New Roman" w:cs="Times New Roman"/>
      <w:b/>
      <w:bCs/>
      <w:i w:val="0"/>
      <w:iCs w:val="0"/>
      <w:smallCaps/>
      <w:strike w:val="0"/>
      <w:color w:val="000000"/>
      <w:spacing w:val="0"/>
      <w:w w:val="100"/>
      <w:position w:val="0"/>
      <w:sz w:val="28"/>
      <w:szCs w:val="28"/>
      <w:u w:val="none"/>
      <w:lang w:val="tr-TR" w:eastAsia="tr-TR" w:bidi="tr-TR"/>
    </w:rPr>
  </w:style>
  <w:style w:type="character" w:customStyle="1" w:styleId="Balk1Exact">
    <w:name w:val="Başlık #1 Exact"/>
    <w:basedOn w:val="VarsaylanParagrafYazTipi"/>
    <w:link w:val="Balk1"/>
    <w:rsid w:val="004252A9"/>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sid w:val="004252A9"/>
    <w:rPr>
      <w:rFonts w:ascii="Times New Roman" w:eastAsia="Times New Roman" w:hAnsi="Times New Roman" w:cs="Times New Roman"/>
      <w:b w:val="0"/>
      <w:bCs w:val="0"/>
      <w:i w:val="0"/>
      <w:iCs w:val="0"/>
      <w:smallCaps w:val="0"/>
      <w:strike w:val="0"/>
      <w:u w:val="none"/>
    </w:rPr>
  </w:style>
  <w:style w:type="character" w:customStyle="1" w:styleId="Gvdemetni295pt">
    <w:name w:val="Gövde metni (2) + 9;5 pt"/>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Gvdemetni2Arial85ptKaln">
    <w:name w:val="Gövde metni (2) + Arial;8;5 pt;Kalın"/>
    <w:basedOn w:val="Gvdemetni2"/>
    <w:rsid w:val="004252A9"/>
    <w:rPr>
      <w:rFonts w:ascii="Arial" w:eastAsia="Arial" w:hAnsi="Arial" w:cs="Arial"/>
      <w:b/>
      <w:bCs/>
      <w:i w:val="0"/>
      <w:iCs w:val="0"/>
      <w:smallCaps w:val="0"/>
      <w:strike w:val="0"/>
      <w:color w:val="000000"/>
      <w:spacing w:val="0"/>
      <w:w w:val="100"/>
      <w:position w:val="0"/>
      <w:sz w:val="17"/>
      <w:szCs w:val="17"/>
      <w:u w:val="none"/>
      <w:lang w:val="tr-TR" w:eastAsia="tr-TR" w:bidi="tr-TR"/>
    </w:rPr>
  </w:style>
  <w:style w:type="character" w:customStyle="1" w:styleId="Tabloyazs">
    <w:name w:val="Tablo yazısı_"/>
    <w:basedOn w:val="VarsaylanParagrafYazTipi"/>
    <w:link w:val="Tabloyazs0"/>
    <w:rsid w:val="004252A9"/>
    <w:rPr>
      <w:rFonts w:ascii="Times New Roman" w:eastAsia="Times New Roman" w:hAnsi="Times New Roman" w:cs="Times New Roman"/>
      <w:b w:val="0"/>
      <w:bCs w:val="0"/>
      <w:i w:val="0"/>
      <w:iCs w:val="0"/>
      <w:smallCaps w:val="0"/>
      <w:strike w:val="0"/>
      <w:u w:val="none"/>
    </w:rPr>
  </w:style>
  <w:style w:type="character" w:customStyle="1" w:styleId="Gvdemetni21">
    <w:name w:val="Gövde metni (2)"/>
    <w:basedOn w:val="Gvdemetni2"/>
    <w:rsid w:val="004252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4252A9"/>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paragraph" w:customStyle="1" w:styleId="Gvdemetni3">
    <w:name w:val="Gövde metni (3)"/>
    <w:basedOn w:val="Normal"/>
    <w:link w:val="Gvdemetni3Exact"/>
    <w:rsid w:val="004252A9"/>
    <w:pPr>
      <w:shd w:val="clear" w:color="auto" w:fill="FFFFFF"/>
      <w:spacing w:line="0" w:lineRule="atLeast"/>
    </w:pPr>
    <w:rPr>
      <w:rFonts w:ascii="Times New Roman" w:eastAsia="Times New Roman" w:hAnsi="Times New Roman" w:cs="Times New Roman"/>
      <w:b/>
      <w:bCs/>
      <w:sz w:val="28"/>
      <w:szCs w:val="28"/>
    </w:rPr>
  </w:style>
  <w:style w:type="paragraph" w:customStyle="1" w:styleId="Balk1">
    <w:name w:val="Başlık #1"/>
    <w:basedOn w:val="Normal"/>
    <w:link w:val="Balk1Exact"/>
    <w:rsid w:val="004252A9"/>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Gvdemetni20">
    <w:name w:val="Gövde metni (2)"/>
    <w:basedOn w:val="Normal"/>
    <w:link w:val="Gvdemetni2"/>
    <w:rsid w:val="004252A9"/>
    <w:pPr>
      <w:shd w:val="clear" w:color="auto" w:fill="FFFFFF"/>
      <w:spacing w:after="360" w:line="0" w:lineRule="atLeast"/>
      <w:ind w:hanging="640"/>
      <w:jc w:val="both"/>
    </w:pPr>
    <w:rPr>
      <w:rFonts w:ascii="Times New Roman" w:eastAsia="Times New Roman" w:hAnsi="Times New Roman" w:cs="Times New Roman"/>
    </w:rPr>
  </w:style>
  <w:style w:type="paragraph" w:customStyle="1" w:styleId="Tabloyazs0">
    <w:name w:val="Tablo yazısı"/>
    <w:basedOn w:val="Normal"/>
    <w:link w:val="Tabloyazs"/>
    <w:rsid w:val="004252A9"/>
    <w:pPr>
      <w:shd w:val="clear" w:color="auto" w:fill="FFFFFF"/>
      <w:spacing w:line="0" w:lineRule="atLeast"/>
    </w:pPr>
    <w:rPr>
      <w:rFonts w:ascii="Times New Roman" w:eastAsia="Times New Roman" w:hAnsi="Times New Roman" w:cs="Times New Roman"/>
    </w:rPr>
  </w:style>
  <w:style w:type="paragraph" w:styleId="stbilgi">
    <w:name w:val="header"/>
    <w:basedOn w:val="Normal"/>
    <w:link w:val="stbilgiChar"/>
    <w:uiPriority w:val="99"/>
    <w:unhideWhenUsed/>
    <w:rsid w:val="001D1B35"/>
    <w:pPr>
      <w:tabs>
        <w:tab w:val="center" w:pos="4536"/>
        <w:tab w:val="right" w:pos="9072"/>
      </w:tabs>
    </w:pPr>
  </w:style>
  <w:style w:type="character" w:customStyle="1" w:styleId="stbilgiChar">
    <w:name w:val="Üstbilgi Char"/>
    <w:basedOn w:val="VarsaylanParagrafYazTipi"/>
    <w:link w:val="stbilgi"/>
    <w:uiPriority w:val="99"/>
    <w:rsid w:val="001D1B35"/>
    <w:rPr>
      <w:color w:val="000000"/>
    </w:rPr>
  </w:style>
  <w:style w:type="paragraph" w:styleId="Altbilgi">
    <w:name w:val="footer"/>
    <w:basedOn w:val="Normal"/>
    <w:link w:val="AltbilgiChar"/>
    <w:uiPriority w:val="99"/>
    <w:unhideWhenUsed/>
    <w:rsid w:val="001D1B35"/>
    <w:pPr>
      <w:tabs>
        <w:tab w:val="center" w:pos="4536"/>
        <w:tab w:val="right" w:pos="9072"/>
      </w:tabs>
    </w:pPr>
  </w:style>
  <w:style w:type="character" w:customStyle="1" w:styleId="AltbilgiChar">
    <w:name w:val="Altbilgi Char"/>
    <w:basedOn w:val="VarsaylanParagrafYazTipi"/>
    <w:link w:val="Altbilgi"/>
    <w:uiPriority w:val="99"/>
    <w:rsid w:val="001D1B35"/>
    <w:rPr>
      <w:color w:val="000000"/>
    </w:rPr>
  </w:style>
  <w:style w:type="paragraph" w:styleId="BalonMetni">
    <w:name w:val="Balloon Text"/>
    <w:basedOn w:val="Normal"/>
    <w:link w:val="BalonMetniChar"/>
    <w:uiPriority w:val="99"/>
    <w:semiHidden/>
    <w:unhideWhenUsed/>
    <w:rsid w:val="001D1B35"/>
    <w:rPr>
      <w:rFonts w:ascii="Tahoma" w:hAnsi="Tahoma" w:cs="Tahoma"/>
      <w:sz w:val="16"/>
      <w:szCs w:val="16"/>
    </w:rPr>
  </w:style>
  <w:style w:type="character" w:customStyle="1" w:styleId="BalonMetniChar">
    <w:name w:val="Balon Metni Char"/>
    <w:basedOn w:val="VarsaylanParagrafYazTipi"/>
    <w:link w:val="BalonMetni"/>
    <w:uiPriority w:val="99"/>
    <w:semiHidden/>
    <w:rsid w:val="001D1B35"/>
    <w:rPr>
      <w:rFonts w:ascii="Tahoma" w:hAnsi="Tahoma" w:cs="Tahoma"/>
      <w:color w:val="000000"/>
      <w:sz w:val="16"/>
      <w:szCs w:val="16"/>
    </w:rPr>
  </w:style>
  <w:style w:type="paragraph" w:styleId="ListeParagraf">
    <w:name w:val="List Paragraph"/>
    <w:basedOn w:val="Normal"/>
    <w:uiPriority w:val="34"/>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Aziz Okay</cp:lastModifiedBy>
  <cp:revision>2</cp:revision>
  <dcterms:created xsi:type="dcterms:W3CDTF">2020-12-02T12:19:00Z</dcterms:created>
  <dcterms:modified xsi:type="dcterms:W3CDTF">2020-12-02T12:19:00Z</dcterms:modified>
</cp:coreProperties>
</file>