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EC" w:rsidRDefault="00C33DEC"/>
    <w:p w:rsidR="00927B8B" w:rsidRPr="00927B8B" w:rsidRDefault="00927B8B" w:rsidP="00927B8B">
      <w:pPr>
        <w:spacing w:after="0"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A52A2A"/>
          <w:sz w:val="21"/>
          <w:szCs w:val="21"/>
          <w:lang w:eastAsia="tr-TR"/>
        </w:rPr>
        <w:t>Misyon</w:t>
      </w:r>
    </w:p>
    <w:p w:rsidR="00927B8B" w:rsidRPr="00927B8B" w:rsidRDefault="00927B8B" w:rsidP="00927B8B">
      <w:pPr>
        <w:spacing w:after="0" w:line="240" w:lineRule="auto"/>
        <w:rPr>
          <w:rFonts w:ascii="Times New Roman" w:eastAsia="Times New Roman" w:hAnsi="Times New Roman" w:cs="Times New Roman"/>
          <w:sz w:val="24"/>
          <w:szCs w:val="24"/>
          <w:lang w:eastAsia="tr-TR"/>
        </w:rPr>
      </w:pPr>
      <w:r w:rsidRPr="00927B8B">
        <w:rPr>
          <w:rFonts w:ascii="Arial" w:eastAsia="Times New Roman" w:hAnsi="Arial" w:cs="Arial"/>
          <w:b/>
          <w:bCs/>
          <w:color w:val="555555"/>
          <w:sz w:val="21"/>
          <w:szCs w:val="21"/>
          <w:lang w:eastAsia="tr-TR"/>
        </w:rPr>
        <w:t> </w:t>
      </w:r>
    </w:p>
    <w:p w:rsidR="00927B8B" w:rsidRPr="00927B8B" w:rsidRDefault="00927B8B" w:rsidP="00927B8B">
      <w:pPr>
        <w:spacing w:after="0" w:line="240" w:lineRule="auto"/>
        <w:jc w:val="both"/>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 xml:space="preserve">Bölümün kuruluş </w:t>
      </w:r>
      <w:proofErr w:type="gramStart"/>
      <w:r w:rsidRPr="00927B8B">
        <w:rPr>
          <w:rFonts w:ascii="Comic Sans MS" w:eastAsia="Times New Roman" w:hAnsi="Comic Sans MS" w:cs="Arial"/>
          <w:b/>
          <w:bCs/>
          <w:color w:val="555555"/>
          <w:sz w:val="21"/>
          <w:szCs w:val="21"/>
          <w:lang w:eastAsia="tr-TR"/>
        </w:rPr>
        <w:t>misyonu</w:t>
      </w:r>
      <w:proofErr w:type="gramEnd"/>
      <w:r w:rsidRPr="00927B8B">
        <w:rPr>
          <w:rFonts w:ascii="Comic Sans MS" w:eastAsia="Times New Roman" w:hAnsi="Comic Sans MS" w:cs="Arial"/>
          <w:b/>
          <w:bCs/>
          <w:color w:val="555555"/>
          <w:sz w:val="21"/>
          <w:szCs w:val="21"/>
          <w:lang w:eastAsia="tr-TR"/>
        </w:rPr>
        <w:t xml:space="preserve">, </w:t>
      </w:r>
      <w:r>
        <w:rPr>
          <w:rFonts w:ascii="Comic Sans MS" w:eastAsia="Times New Roman" w:hAnsi="Comic Sans MS" w:cs="Arial"/>
          <w:b/>
          <w:bCs/>
          <w:color w:val="555555"/>
          <w:sz w:val="21"/>
          <w:szCs w:val="21"/>
          <w:lang w:eastAsia="tr-TR"/>
        </w:rPr>
        <w:t>Petrol ve Doğalgaz</w:t>
      </w:r>
      <w:r w:rsidRPr="00927B8B">
        <w:rPr>
          <w:rFonts w:ascii="Comic Sans MS" w:eastAsia="Times New Roman" w:hAnsi="Comic Sans MS" w:cs="Arial"/>
          <w:b/>
          <w:bCs/>
          <w:color w:val="555555"/>
          <w:sz w:val="21"/>
          <w:szCs w:val="21"/>
          <w:lang w:eastAsia="tr-TR"/>
        </w:rPr>
        <w:t xml:space="preserve"> mühendisliğinin farklı alanlarında bilim ve teknoloji üretimine katkıda bulunmak, çağın gerektirdiği bilgi ve becerilerle donatılmış, problem çözme ve analitik düşünme yeteneğine sahip üstün nitelikli mühendisler yetiştirmek ve sanayi ile işbirliği içerisinde yürütülen mühendislik faaliyetleriyle ülkemizin teknolojik gelişimine destek olmaktır.</w:t>
      </w:r>
    </w:p>
    <w:p w:rsidR="00927B8B" w:rsidRPr="00927B8B" w:rsidRDefault="00927B8B" w:rsidP="00927B8B">
      <w:pPr>
        <w:spacing w:after="0" w:line="240" w:lineRule="auto"/>
        <w:rPr>
          <w:rFonts w:ascii="Times New Roman" w:eastAsia="Times New Roman" w:hAnsi="Times New Roman" w:cs="Times New Roman"/>
          <w:sz w:val="24"/>
          <w:szCs w:val="24"/>
          <w:lang w:eastAsia="tr-TR"/>
        </w:rPr>
      </w:pPr>
      <w:r w:rsidRPr="00927B8B">
        <w:rPr>
          <w:rFonts w:ascii="Arial" w:eastAsia="Times New Roman" w:hAnsi="Arial" w:cs="Arial"/>
          <w:b/>
          <w:bCs/>
          <w:color w:val="555555"/>
          <w:sz w:val="21"/>
          <w:szCs w:val="21"/>
          <w:lang w:eastAsia="tr-TR"/>
        </w:rPr>
        <w:br/>
      </w:r>
      <w:r w:rsidRPr="00927B8B">
        <w:rPr>
          <w:rFonts w:ascii="Comic Sans MS" w:eastAsia="Times New Roman" w:hAnsi="Comic Sans MS" w:cs="Times New Roman"/>
          <w:b/>
          <w:bCs/>
          <w:color w:val="A52A2A"/>
          <w:sz w:val="21"/>
          <w:szCs w:val="21"/>
          <w:lang w:eastAsia="tr-TR"/>
        </w:rPr>
        <w:t>Vizyon</w:t>
      </w:r>
      <w:r w:rsidRPr="00927B8B">
        <w:rPr>
          <w:rFonts w:ascii="Arial" w:eastAsia="Times New Roman" w:hAnsi="Arial" w:cs="Arial"/>
          <w:b/>
          <w:bCs/>
          <w:color w:val="555555"/>
          <w:sz w:val="21"/>
          <w:szCs w:val="21"/>
          <w:lang w:eastAsia="tr-TR"/>
        </w:rPr>
        <w:br/>
        <w:t> </w:t>
      </w:r>
    </w:p>
    <w:p w:rsidR="00927B8B" w:rsidRPr="00927B8B" w:rsidRDefault="00927B8B" w:rsidP="00927B8B">
      <w:pPr>
        <w:spacing w:after="0" w:line="240" w:lineRule="auto"/>
        <w:jc w:val="both"/>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 xml:space="preserve">Bölümün kuruluş </w:t>
      </w:r>
      <w:proofErr w:type="gramStart"/>
      <w:r w:rsidRPr="00927B8B">
        <w:rPr>
          <w:rFonts w:ascii="Comic Sans MS" w:eastAsia="Times New Roman" w:hAnsi="Comic Sans MS" w:cs="Arial"/>
          <w:b/>
          <w:bCs/>
          <w:color w:val="555555"/>
          <w:sz w:val="21"/>
          <w:szCs w:val="21"/>
          <w:lang w:eastAsia="tr-TR"/>
        </w:rPr>
        <w:t>vizyonu</w:t>
      </w:r>
      <w:proofErr w:type="gramEnd"/>
      <w:r w:rsidRPr="00927B8B">
        <w:rPr>
          <w:rFonts w:ascii="Comic Sans MS" w:eastAsia="Times New Roman" w:hAnsi="Comic Sans MS" w:cs="Arial"/>
          <w:b/>
          <w:bCs/>
          <w:color w:val="555555"/>
          <w:sz w:val="21"/>
          <w:szCs w:val="21"/>
          <w:lang w:eastAsia="tr-TR"/>
        </w:rPr>
        <w:t xml:space="preserve">, </w:t>
      </w:r>
      <w:r>
        <w:rPr>
          <w:rFonts w:ascii="Comic Sans MS" w:eastAsia="Times New Roman" w:hAnsi="Comic Sans MS" w:cs="Arial"/>
          <w:b/>
          <w:bCs/>
          <w:color w:val="555555"/>
          <w:sz w:val="21"/>
          <w:szCs w:val="21"/>
          <w:lang w:eastAsia="tr-TR"/>
        </w:rPr>
        <w:t>Petrol ve Doğalgaz</w:t>
      </w:r>
      <w:r w:rsidRPr="00927B8B">
        <w:rPr>
          <w:rFonts w:ascii="Comic Sans MS" w:eastAsia="Times New Roman" w:hAnsi="Comic Sans MS" w:cs="Arial"/>
          <w:b/>
          <w:bCs/>
          <w:color w:val="555555"/>
          <w:sz w:val="21"/>
          <w:szCs w:val="21"/>
          <w:lang w:eastAsia="tr-TR"/>
        </w:rPr>
        <w:t xml:space="preserve"> </w:t>
      </w:r>
      <w:r w:rsidRPr="00927B8B">
        <w:rPr>
          <w:rFonts w:ascii="Comic Sans MS" w:eastAsia="Times New Roman" w:hAnsi="Comic Sans MS" w:cs="Arial"/>
          <w:b/>
          <w:bCs/>
          <w:color w:val="555555"/>
          <w:sz w:val="21"/>
          <w:szCs w:val="21"/>
          <w:lang w:eastAsia="tr-TR"/>
        </w:rPr>
        <w:t>mühendisliği eğitim ve öğretiminde ulusal düzeyde sürekli ön sıralarda yer almak için çalışan, bilgi üretmeyi ve teknoloji geliştirmeyi hedefleyen, toplumun ihtiyaçlarına duyarlı mezunlar yetiştiren ve uluslararası platformda da kabul gören bir kurum olmaktır.</w:t>
      </w:r>
    </w:p>
    <w:p w:rsidR="00927B8B" w:rsidRPr="00927B8B" w:rsidRDefault="00927B8B" w:rsidP="00927B8B">
      <w:pPr>
        <w:spacing w:after="0" w:line="240" w:lineRule="auto"/>
        <w:rPr>
          <w:rFonts w:ascii="Times New Roman" w:eastAsia="Times New Roman" w:hAnsi="Times New Roman" w:cs="Times New Roman"/>
          <w:sz w:val="24"/>
          <w:szCs w:val="24"/>
          <w:lang w:eastAsia="tr-TR"/>
        </w:rPr>
      </w:pPr>
      <w:r w:rsidRPr="00927B8B">
        <w:rPr>
          <w:rFonts w:ascii="Arial" w:eastAsia="Times New Roman" w:hAnsi="Arial" w:cs="Arial"/>
          <w:b/>
          <w:bCs/>
          <w:color w:val="555555"/>
          <w:sz w:val="21"/>
          <w:szCs w:val="21"/>
          <w:lang w:eastAsia="tr-TR"/>
        </w:rPr>
        <w:br/>
      </w:r>
      <w:r w:rsidRPr="00927B8B">
        <w:rPr>
          <w:rFonts w:ascii="Comic Sans MS" w:eastAsia="Times New Roman" w:hAnsi="Comic Sans MS" w:cs="Times New Roman"/>
          <w:b/>
          <w:bCs/>
          <w:color w:val="A52A2A"/>
          <w:sz w:val="21"/>
          <w:szCs w:val="21"/>
          <w:lang w:eastAsia="tr-TR"/>
        </w:rPr>
        <w:t>Temel Değerler</w:t>
      </w:r>
      <w:r w:rsidRPr="00927B8B">
        <w:rPr>
          <w:rFonts w:ascii="Arial" w:eastAsia="Times New Roman" w:hAnsi="Arial" w:cs="Arial"/>
          <w:b/>
          <w:bCs/>
          <w:color w:val="555555"/>
          <w:sz w:val="21"/>
          <w:szCs w:val="21"/>
          <w:lang w:eastAsia="tr-TR"/>
        </w:rPr>
        <w:br/>
        <w:t> </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Görevimizin eğitim, araştırma – uygulama, bilim üretme, yayma ve topluma hizmet olduğuna inanırız.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Ülkemize, kurumumuza, fakültemize ait ve layık olma bilinci ve sorumluluğu taşırız.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Kararlarımızı veriye dayalı olarak alırız.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Her türlü sürecin uygulanmasında saydam olmaya dikkat ederiz.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Mühendislik sorunlarını çözerken ve uygulamalarımızı yaparken yasal sorumluluk bilincimize ek olarak toplumsal ve ahlaki sorumluluklarımızın     bilincini taşırız.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Niteliğin nicelikten üstün olduğuna inanırız.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Mevcut durumumuzu korumak yerine sürekli gelişmeyi hedefleriz.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Emeğe saygı duyarız.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Başarının takım çalışması ile sağlanacağına inanırız.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Başarının teşvik ve ödüllendirme ile artacağına inanırız.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Dürüst davranır ve eleştirilerimizin yapıcı olmasına dikkat ederiz.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Eleştirildiğimiz yönlerimizi sorgular ve düzeltmek için azami gayreti sarf</w:t>
      </w:r>
      <w:r>
        <w:rPr>
          <w:rFonts w:ascii="Comic Sans MS" w:eastAsia="Times New Roman" w:hAnsi="Comic Sans MS" w:cs="Arial"/>
          <w:b/>
          <w:bCs/>
          <w:color w:val="555555"/>
          <w:sz w:val="21"/>
          <w:szCs w:val="21"/>
          <w:lang w:eastAsia="tr-TR"/>
        </w:rPr>
        <w:t xml:space="preserve"> </w:t>
      </w:r>
      <w:bookmarkStart w:id="0" w:name="_GoBack"/>
      <w:bookmarkEnd w:id="0"/>
      <w:r w:rsidRPr="00927B8B">
        <w:rPr>
          <w:rFonts w:ascii="Comic Sans MS" w:eastAsia="Times New Roman" w:hAnsi="Comic Sans MS" w:cs="Arial"/>
          <w:b/>
          <w:bCs/>
          <w:color w:val="555555"/>
          <w:sz w:val="21"/>
          <w:szCs w:val="21"/>
          <w:lang w:eastAsia="tr-TR"/>
        </w:rPr>
        <w:t>ederiz.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Sınırlı kaynaklarımızı en etkin ve verimli bir şekilde kullanırız.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proofErr w:type="gramStart"/>
      <w:r w:rsidRPr="00927B8B">
        <w:rPr>
          <w:rFonts w:ascii="Comic Sans MS" w:eastAsia="Times New Roman" w:hAnsi="Comic Sans MS" w:cs="Arial"/>
          <w:b/>
          <w:bCs/>
          <w:color w:val="555555"/>
          <w:sz w:val="21"/>
          <w:szCs w:val="21"/>
          <w:lang w:eastAsia="tr-TR"/>
        </w:rPr>
        <w:t>Şikayet</w:t>
      </w:r>
      <w:proofErr w:type="gramEnd"/>
      <w:r w:rsidRPr="00927B8B">
        <w:rPr>
          <w:rFonts w:ascii="Comic Sans MS" w:eastAsia="Times New Roman" w:hAnsi="Comic Sans MS" w:cs="Arial"/>
          <w:b/>
          <w:bCs/>
          <w:color w:val="555555"/>
          <w:sz w:val="21"/>
          <w:szCs w:val="21"/>
          <w:lang w:eastAsia="tr-TR"/>
        </w:rPr>
        <w:t xml:space="preserve"> etme yerine problemin çözümüne katkı sağlamaya odaklanırız.</w:t>
      </w:r>
    </w:p>
    <w:p w:rsidR="00927B8B" w:rsidRPr="00927B8B" w:rsidRDefault="00927B8B" w:rsidP="00927B8B">
      <w:pPr>
        <w:numPr>
          <w:ilvl w:val="0"/>
          <w:numId w:val="1"/>
        </w:numPr>
        <w:spacing w:before="100" w:beforeAutospacing="1" w:after="100" w:afterAutospacing="1" w:line="240" w:lineRule="auto"/>
        <w:rPr>
          <w:rFonts w:ascii="Arial" w:eastAsia="Times New Roman" w:hAnsi="Arial" w:cs="Arial"/>
          <w:b/>
          <w:bCs/>
          <w:color w:val="555555"/>
          <w:sz w:val="21"/>
          <w:szCs w:val="21"/>
          <w:lang w:eastAsia="tr-TR"/>
        </w:rPr>
      </w:pPr>
      <w:r w:rsidRPr="00927B8B">
        <w:rPr>
          <w:rFonts w:ascii="Comic Sans MS" w:eastAsia="Times New Roman" w:hAnsi="Comic Sans MS" w:cs="Arial"/>
          <w:b/>
          <w:bCs/>
          <w:color w:val="555555"/>
          <w:sz w:val="21"/>
          <w:szCs w:val="21"/>
          <w:lang w:eastAsia="tr-TR"/>
        </w:rPr>
        <w:t>Evrensel değerlere uygun olarak ırk, dil, din, cinsiyet farkları ve bedensel eksikliklere bakmadan insanlara eşit ve adil davranırız.</w:t>
      </w:r>
    </w:p>
    <w:p w:rsidR="00927B8B" w:rsidRDefault="00927B8B"/>
    <w:sectPr w:rsidR="00927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B2B"/>
    <w:multiLevelType w:val="multilevel"/>
    <w:tmpl w:val="CCA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8B"/>
    <w:rsid w:val="00927B8B"/>
    <w:rsid w:val="00C33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93295-BEEF-4716-B63C-DD19A4C1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7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dc:creator>
  <cp:keywords/>
  <dc:description/>
  <cp:lastModifiedBy>Nilüfer</cp:lastModifiedBy>
  <cp:revision>1</cp:revision>
  <dcterms:created xsi:type="dcterms:W3CDTF">2022-04-15T12:39:00Z</dcterms:created>
  <dcterms:modified xsi:type="dcterms:W3CDTF">2022-04-15T12:40:00Z</dcterms:modified>
</cp:coreProperties>
</file>