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50" w:rsidRPr="0032015E" w:rsidRDefault="00244150" w:rsidP="00CB0137">
      <w:pPr>
        <w:numPr>
          <w:ilvl w:val="0"/>
          <w:numId w:val="1"/>
        </w:numPr>
        <w:tabs>
          <w:tab w:val="num" w:pos="142"/>
          <w:tab w:val="left" w:pos="360"/>
        </w:tabs>
        <w:spacing w:line="360" w:lineRule="auto"/>
        <w:ind w:left="284" w:hanging="284"/>
        <w:jc w:val="both"/>
        <w:rPr>
          <w:b/>
        </w:rPr>
      </w:pPr>
      <w:r w:rsidRPr="0032015E">
        <w:rPr>
          <w:b/>
        </w:rPr>
        <w:t xml:space="preserve">AMAÇ: </w:t>
      </w:r>
      <w:r w:rsidR="0050617F" w:rsidRPr="0032015E">
        <w:t xml:space="preserve">Bu süreç akışının amacı, </w:t>
      </w:r>
      <w:r w:rsidR="00EF25F7" w:rsidRPr="0032015E">
        <w:t xml:space="preserve">taahhüt evrakı ve sözleşme tasarılarının </w:t>
      </w:r>
      <w:r w:rsidR="00323668" w:rsidRPr="0032015E">
        <w:t>ön mali kontrolü hususunda</w:t>
      </w:r>
      <w:r w:rsidR="00515B71" w:rsidRPr="0032015E">
        <w:t xml:space="preserve"> </w:t>
      </w:r>
      <w:r w:rsidR="0050617F" w:rsidRPr="0032015E">
        <w:t xml:space="preserve">standart bir yöntem </w:t>
      </w:r>
      <w:r w:rsidR="004B32A7" w:rsidRPr="0032015E">
        <w:t>belirlemektir.</w:t>
      </w:r>
      <w:r w:rsidR="00E255B2" w:rsidRPr="0032015E">
        <w:t xml:space="preserve"> </w:t>
      </w:r>
    </w:p>
    <w:p w:rsidR="00244150" w:rsidRPr="0032015E" w:rsidRDefault="00244150" w:rsidP="00CC1CBE">
      <w:pPr>
        <w:numPr>
          <w:ilvl w:val="0"/>
          <w:numId w:val="1"/>
        </w:numPr>
        <w:tabs>
          <w:tab w:val="num" w:pos="142"/>
          <w:tab w:val="left" w:pos="360"/>
        </w:tabs>
        <w:spacing w:line="360" w:lineRule="auto"/>
        <w:ind w:left="284" w:hanging="284"/>
        <w:jc w:val="both"/>
        <w:rPr>
          <w:b/>
        </w:rPr>
      </w:pPr>
      <w:r w:rsidRPr="0032015E">
        <w:rPr>
          <w:b/>
        </w:rPr>
        <w:t xml:space="preserve">KAPSAM: </w:t>
      </w:r>
      <w:r w:rsidR="0050617F" w:rsidRPr="0032015E">
        <w:t xml:space="preserve">Bu süreç akışı, </w:t>
      </w:r>
      <w:r w:rsidR="00EF25F7" w:rsidRPr="0032015E">
        <w:t xml:space="preserve">taahhüt evrakı ve sözleşme tasarılarının </w:t>
      </w:r>
      <w:r w:rsidR="00323668" w:rsidRPr="0032015E">
        <w:t>ön mali kontrolü hususuna</w:t>
      </w:r>
      <w:r w:rsidR="00880BA3" w:rsidRPr="0032015E">
        <w:t xml:space="preserve"> ilişkin </w:t>
      </w:r>
      <w:r w:rsidR="00515B71" w:rsidRPr="0032015E">
        <w:t xml:space="preserve">yürütülen </w:t>
      </w:r>
      <w:r w:rsidR="009B2911" w:rsidRPr="0032015E">
        <w:t xml:space="preserve">tüm </w:t>
      </w:r>
      <w:r w:rsidR="0050617F" w:rsidRPr="0032015E">
        <w:t>faaliyetleri kapsar.</w:t>
      </w:r>
    </w:p>
    <w:p w:rsidR="0032015E" w:rsidRPr="0032015E" w:rsidRDefault="0032015E" w:rsidP="0032015E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32015E">
        <w:rPr>
          <w:b/>
        </w:rPr>
        <w:t>M</w:t>
      </w:r>
      <w:r w:rsidR="00105F85">
        <w:rPr>
          <w:b/>
        </w:rPr>
        <w:t>EVZUAT, TANIMLAR VE KISALTMALAR</w:t>
      </w:r>
    </w:p>
    <w:p w:rsidR="007C1A59" w:rsidRPr="0032015E" w:rsidRDefault="007813A9" w:rsidP="00CC1CBE">
      <w:pPr>
        <w:pStyle w:val="ListeParagraf"/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  <w:rPr>
          <w:b/>
        </w:rPr>
      </w:pPr>
      <w:r>
        <w:rPr>
          <w:b/>
        </w:rPr>
        <w:t>Ön Mali Kontrol Yetkilisi</w:t>
      </w:r>
      <w:r w:rsidR="007C1A59" w:rsidRPr="0032015E">
        <w:rPr>
          <w:b/>
        </w:rPr>
        <w:t xml:space="preserve">: </w:t>
      </w:r>
      <w:r w:rsidR="007C1A59" w:rsidRPr="0032015E">
        <w:t>Strateji Geliştirme Daire Başkanı</w:t>
      </w:r>
      <w:r w:rsidR="00712628" w:rsidRPr="0032015E">
        <w:t>,</w:t>
      </w:r>
    </w:p>
    <w:p w:rsidR="00764DF9" w:rsidRPr="0032015E" w:rsidRDefault="00EF25F7" w:rsidP="00CC1CBE">
      <w:pPr>
        <w:pStyle w:val="ListeParagraf"/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  <w:rPr>
          <w:b/>
        </w:rPr>
      </w:pPr>
      <w:r w:rsidRPr="0032015E">
        <w:rPr>
          <w:b/>
        </w:rPr>
        <w:t>4734</w:t>
      </w:r>
      <w:r w:rsidR="00B8493F" w:rsidRPr="0032015E">
        <w:rPr>
          <w:b/>
        </w:rPr>
        <w:t xml:space="preserve"> sayılı</w:t>
      </w:r>
      <w:r w:rsidR="00764DF9" w:rsidRPr="0032015E">
        <w:rPr>
          <w:b/>
        </w:rPr>
        <w:t xml:space="preserve"> Kanun: </w:t>
      </w:r>
      <w:r w:rsidRPr="0032015E">
        <w:t>4734</w:t>
      </w:r>
      <w:r w:rsidR="00764DF9" w:rsidRPr="0032015E">
        <w:t xml:space="preserve"> Sayılı </w:t>
      </w:r>
      <w:r w:rsidRPr="0032015E">
        <w:t>Kamu İhale</w:t>
      </w:r>
      <w:r w:rsidR="00764DF9" w:rsidRPr="0032015E">
        <w:t xml:space="preserve"> Kanunu,</w:t>
      </w:r>
      <w:r w:rsidR="00764DF9" w:rsidRPr="0032015E">
        <w:rPr>
          <w:b/>
        </w:rPr>
        <w:t xml:space="preserve"> </w:t>
      </w:r>
    </w:p>
    <w:p w:rsidR="00EF25F7" w:rsidRPr="0032015E" w:rsidRDefault="00EF25F7" w:rsidP="00CC1CBE">
      <w:pPr>
        <w:pStyle w:val="ListeParagraf"/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  <w:rPr>
          <w:b/>
        </w:rPr>
      </w:pPr>
      <w:r w:rsidRPr="0032015E">
        <w:rPr>
          <w:b/>
        </w:rPr>
        <w:t xml:space="preserve">4735 sayılı Kanun: </w:t>
      </w:r>
      <w:r w:rsidRPr="0032015E">
        <w:t>4734 Sayılı Kamu İhale Sözleşmeleri Kanunu,</w:t>
      </w:r>
    </w:p>
    <w:p w:rsidR="00764DF9" w:rsidRPr="0032015E" w:rsidRDefault="00B8493F" w:rsidP="00CC1CBE">
      <w:pPr>
        <w:pStyle w:val="ListeParagraf"/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  <w:rPr>
          <w:b/>
        </w:rPr>
      </w:pPr>
      <w:r w:rsidRPr="0032015E">
        <w:rPr>
          <w:b/>
        </w:rPr>
        <w:t>5018 sayılı</w:t>
      </w:r>
      <w:r w:rsidR="00764DF9" w:rsidRPr="0032015E">
        <w:rPr>
          <w:b/>
        </w:rPr>
        <w:t xml:space="preserve"> Kanun: </w:t>
      </w:r>
      <w:r w:rsidR="00764DF9" w:rsidRPr="0032015E">
        <w:t>5018 Sayılı Kamu Mali Yönetimi ve Kontrol Kanunu,</w:t>
      </w:r>
    </w:p>
    <w:p w:rsidR="00EF25F7" w:rsidRPr="0032015E" w:rsidRDefault="00EF25F7" w:rsidP="00CC1CBE">
      <w:pPr>
        <w:pStyle w:val="ListeParagraf"/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  <w:rPr>
          <w:b/>
        </w:rPr>
      </w:pPr>
      <w:r w:rsidRPr="0032015E">
        <w:rPr>
          <w:b/>
        </w:rPr>
        <w:t xml:space="preserve">Bütçe Kanunu: </w:t>
      </w:r>
      <w:r w:rsidRPr="0032015E">
        <w:t>Yılı Merkezi Yönetim Bütçe Kanunu</w:t>
      </w:r>
      <w:r w:rsidR="00C043F9" w:rsidRPr="0032015E">
        <w:t>,</w:t>
      </w:r>
    </w:p>
    <w:p w:rsidR="00712628" w:rsidRPr="0032015E" w:rsidRDefault="00712628" w:rsidP="00CC1CBE">
      <w:pPr>
        <w:pStyle w:val="ListeParagraf"/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</w:pPr>
      <w:r w:rsidRPr="0032015E">
        <w:rPr>
          <w:b/>
        </w:rPr>
        <w:t xml:space="preserve">Yönetmelik: </w:t>
      </w:r>
      <w:r w:rsidR="00EF25F7" w:rsidRPr="0032015E">
        <w:t>Kamu ihale mevzuatı yönetmelikleri,</w:t>
      </w:r>
    </w:p>
    <w:p w:rsidR="00C043F9" w:rsidRPr="0032015E" w:rsidRDefault="00C043F9" w:rsidP="00CC1CBE">
      <w:pPr>
        <w:pStyle w:val="ListeParagraf"/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</w:pPr>
      <w:r w:rsidRPr="0032015E">
        <w:rPr>
          <w:b/>
        </w:rPr>
        <w:t>Usul ve Esaslar:</w:t>
      </w:r>
      <w:r w:rsidRPr="0032015E">
        <w:t xml:space="preserve"> İç Kontrol ve Ön Malî Kontrole İlişkin Usul ve Esaslar</w:t>
      </w:r>
    </w:p>
    <w:p w:rsidR="00712628" w:rsidRPr="0032015E" w:rsidRDefault="00A41981" w:rsidP="00CC1CBE">
      <w:pPr>
        <w:pStyle w:val="ListeParagraf"/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  <w:rPr>
          <w:b/>
        </w:rPr>
      </w:pPr>
      <w:r w:rsidRPr="0032015E">
        <w:rPr>
          <w:b/>
        </w:rPr>
        <w:t xml:space="preserve">Yönerge: </w:t>
      </w:r>
      <w:r w:rsidR="00B664DD">
        <w:t>Batman</w:t>
      </w:r>
      <w:r w:rsidRPr="0032015E">
        <w:t xml:space="preserve"> Üniversitesi</w:t>
      </w:r>
      <w:r w:rsidRPr="0032015E">
        <w:rPr>
          <w:b/>
        </w:rPr>
        <w:t xml:space="preserve"> </w:t>
      </w:r>
      <w:r w:rsidRPr="0032015E">
        <w:t>Ön Mali Kontrol İşlemlerine İlişkin Usul ve Esaslar Hakkında Yönerge,</w:t>
      </w:r>
    </w:p>
    <w:p w:rsidR="00EF25F7" w:rsidRPr="0032015E" w:rsidRDefault="00EF25F7" w:rsidP="00CC1CBE">
      <w:pPr>
        <w:pStyle w:val="ListeParagraf"/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</w:pPr>
      <w:r w:rsidRPr="0032015E">
        <w:rPr>
          <w:b/>
        </w:rPr>
        <w:t xml:space="preserve">Tebliğ: </w:t>
      </w:r>
      <w:r w:rsidRPr="0032015E">
        <w:t>Kamu İhale Genel Tebliği,</w:t>
      </w:r>
    </w:p>
    <w:p w:rsidR="00EF25F7" w:rsidRPr="0032015E" w:rsidRDefault="00EF25F7" w:rsidP="00C043F9">
      <w:pPr>
        <w:pStyle w:val="ListeParagraf"/>
        <w:numPr>
          <w:ilvl w:val="1"/>
          <w:numId w:val="1"/>
        </w:numPr>
        <w:tabs>
          <w:tab w:val="clear" w:pos="420"/>
          <w:tab w:val="left" w:pos="993"/>
          <w:tab w:val="left" w:pos="1134"/>
        </w:tabs>
        <w:spacing w:line="360" w:lineRule="auto"/>
        <w:ind w:left="426" w:firstLine="0"/>
        <w:jc w:val="both"/>
      </w:pPr>
      <w:r w:rsidRPr="0032015E">
        <w:rPr>
          <w:b/>
        </w:rPr>
        <w:t>Esaslar:</w:t>
      </w:r>
      <w:r w:rsidRPr="0032015E">
        <w:t xml:space="preserve"> Fiyat farkı esasları,</w:t>
      </w:r>
    </w:p>
    <w:p w:rsidR="00EF25F7" w:rsidRPr="0032015E" w:rsidRDefault="00EF25F7" w:rsidP="00EF25F7">
      <w:pPr>
        <w:pStyle w:val="ListeParagraf"/>
        <w:numPr>
          <w:ilvl w:val="1"/>
          <w:numId w:val="1"/>
        </w:numPr>
        <w:tabs>
          <w:tab w:val="clear" w:pos="420"/>
          <w:tab w:val="left" w:pos="993"/>
          <w:tab w:val="left" w:pos="1134"/>
        </w:tabs>
        <w:spacing w:line="360" w:lineRule="auto"/>
        <w:ind w:left="426" w:firstLine="0"/>
        <w:jc w:val="both"/>
        <w:rPr>
          <w:b/>
        </w:rPr>
      </w:pPr>
      <w:r w:rsidRPr="0032015E">
        <w:rPr>
          <w:b/>
        </w:rPr>
        <w:t xml:space="preserve">Karar: </w:t>
      </w:r>
      <w:r w:rsidRPr="0032015E">
        <w:t>Kamu İhale Kurul kararları</w:t>
      </w:r>
      <w:r w:rsidR="00800412" w:rsidRPr="0032015E">
        <w:t>,</w:t>
      </w:r>
    </w:p>
    <w:p w:rsidR="00CC1CBE" w:rsidRPr="0032015E" w:rsidRDefault="00CC1CBE" w:rsidP="00EF25F7">
      <w:pPr>
        <w:pStyle w:val="ListeParagraf"/>
        <w:numPr>
          <w:ilvl w:val="1"/>
          <w:numId w:val="1"/>
        </w:numPr>
        <w:tabs>
          <w:tab w:val="clear" w:pos="420"/>
          <w:tab w:val="left" w:pos="993"/>
          <w:tab w:val="left" w:pos="1134"/>
        </w:tabs>
        <w:spacing w:line="360" w:lineRule="auto"/>
        <w:ind w:left="426" w:firstLine="0"/>
        <w:jc w:val="both"/>
        <w:rPr>
          <w:b/>
        </w:rPr>
      </w:pPr>
      <w:r w:rsidRPr="0032015E">
        <w:rPr>
          <w:b/>
        </w:rPr>
        <w:t>Diğer:</w:t>
      </w:r>
      <w:r w:rsidRPr="0032015E">
        <w:t xml:space="preserve"> </w:t>
      </w:r>
      <w:r w:rsidR="00EF25F7" w:rsidRPr="0032015E">
        <w:t>Yukarıda sayılanların dışında kalan</w:t>
      </w:r>
      <w:r w:rsidR="00054B6A">
        <w:t xml:space="preserve"> ilgili</w:t>
      </w:r>
      <w:r w:rsidR="00EF25F7" w:rsidRPr="0032015E">
        <w:t xml:space="preserve"> mevzuat</w:t>
      </w:r>
      <w:r w:rsidR="00800412" w:rsidRPr="0032015E">
        <w:t>.</w:t>
      </w:r>
    </w:p>
    <w:p w:rsidR="0032015E" w:rsidRPr="008444AB" w:rsidRDefault="0032015E" w:rsidP="0032015E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8444AB">
        <w:rPr>
          <w:b/>
        </w:rPr>
        <w:t>SÜRECİ</w:t>
      </w:r>
      <w:r w:rsidR="00B03D73">
        <w:rPr>
          <w:b/>
        </w:rPr>
        <w:t>N</w:t>
      </w:r>
      <w:r w:rsidRPr="008444AB">
        <w:rPr>
          <w:b/>
        </w:rPr>
        <w:t xml:space="preserve"> YÜRÜT</w:t>
      </w:r>
      <w:r w:rsidR="00B03D73">
        <w:rPr>
          <w:b/>
        </w:rPr>
        <w:t>ÜLMESİN</w:t>
      </w:r>
      <w:r w:rsidRPr="008444AB">
        <w:rPr>
          <w:b/>
        </w:rPr>
        <w:t>DE OLMASI GEREKEN YETERLİLİKLER</w:t>
      </w:r>
    </w:p>
    <w:p w:rsidR="00B03D73" w:rsidRDefault="00B03D73" w:rsidP="0032015E">
      <w:pPr>
        <w:pStyle w:val="ListeParagraf"/>
        <w:numPr>
          <w:ilvl w:val="1"/>
          <w:numId w:val="1"/>
        </w:numPr>
        <w:tabs>
          <w:tab w:val="clear" w:pos="420"/>
          <w:tab w:val="num" w:pos="142"/>
          <w:tab w:val="left" w:pos="993"/>
        </w:tabs>
        <w:spacing w:line="360" w:lineRule="auto"/>
        <w:ind w:left="142" w:firstLine="284"/>
        <w:contextualSpacing w:val="0"/>
        <w:jc w:val="both"/>
      </w:pPr>
      <w:r w:rsidRPr="0032015E">
        <w:t>Strateji Geliştirme Daire Başkan</w:t>
      </w:r>
      <w:r>
        <w:t>ı unvanına sahip olmak</w:t>
      </w:r>
      <w:r w:rsidR="00E50DF6">
        <w:t>,</w:t>
      </w:r>
    </w:p>
    <w:p w:rsidR="0032015E" w:rsidRPr="008444AB" w:rsidRDefault="0032015E" w:rsidP="0032015E">
      <w:pPr>
        <w:pStyle w:val="ListeParagraf"/>
        <w:numPr>
          <w:ilvl w:val="1"/>
          <w:numId w:val="1"/>
        </w:numPr>
        <w:tabs>
          <w:tab w:val="clear" w:pos="420"/>
          <w:tab w:val="num" w:pos="142"/>
          <w:tab w:val="left" w:pos="993"/>
        </w:tabs>
        <w:spacing w:line="360" w:lineRule="auto"/>
        <w:ind w:left="142" w:firstLine="284"/>
        <w:contextualSpacing w:val="0"/>
        <w:jc w:val="both"/>
      </w:pPr>
      <w:r w:rsidRPr="008444AB">
        <w:t>Yukarıda yer alan mevzuata hâkim olmak,</w:t>
      </w:r>
    </w:p>
    <w:p w:rsidR="0032015E" w:rsidRPr="008444AB" w:rsidRDefault="0032015E" w:rsidP="0032015E">
      <w:pPr>
        <w:pStyle w:val="ListeParagraf"/>
        <w:numPr>
          <w:ilvl w:val="1"/>
          <w:numId w:val="1"/>
        </w:numPr>
        <w:tabs>
          <w:tab w:val="clear" w:pos="420"/>
          <w:tab w:val="num" w:pos="142"/>
          <w:tab w:val="left" w:pos="993"/>
        </w:tabs>
        <w:spacing w:line="360" w:lineRule="auto"/>
        <w:ind w:left="142" w:firstLine="284"/>
        <w:contextualSpacing w:val="0"/>
        <w:jc w:val="both"/>
      </w:pPr>
      <w:r w:rsidRPr="008444AB">
        <w:t>Görüş yazısı yazmak,</w:t>
      </w:r>
    </w:p>
    <w:p w:rsidR="0032015E" w:rsidRPr="008444AB" w:rsidRDefault="0032015E" w:rsidP="0032015E">
      <w:pPr>
        <w:pStyle w:val="ListeParagraf"/>
        <w:numPr>
          <w:ilvl w:val="1"/>
          <w:numId w:val="1"/>
        </w:numPr>
        <w:tabs>
          <w:tab w:val="clear" w:pos="420"/>
          <w:tab w:val="num" w:pos="142"/>
          <w:tab w:val="left" w:pos="993"/>
        </w:tabs>
        <w:spacing w:line="360" w:lineRule="auto"/>
        <w:ind w:left="142" w:firstLine="284"/>
        <w:contextualSpacing w:val="0"/>
        <w:jc w:val="both"/>
      </w:pPr>
      <w:r w:rsidRPr="008444AB">
        <w:t>İhale dosyası ön inceleme formunu doğru bir şekilde doldurmak,</w:t>
      </w:r>
    </w:p>
    <w:p w:rsidR="0032015E" w:rsidRPr="008444AB" w:rsidRDefault="0032015E" w:rsidP="0032015E">
      <w:pPr>
        <w:pStyle w:val="ListeParagraf"/>
        <w:numPr>
          <w:ilvl w:val="1"/>
          <w:numId w:val="1"/>
        </w:numPr>
        <w:tabs>
          <w:tab w:val="clear" w:pos="420"/>
          <w:tab w:val="num" w:pos="142"/>
          <w:tab w:val="left" w:pos="993"/>
        </w:tabs>
        <w:spacing w:line="360" w:lineRule="auto"/>
        <w:ind w:left="142" w:firstLine="284"/>
        <w:contextualSpacing w:val="0"/>
        <w:jc w:val="both"/>
      </w:pPr>
      <w:r w:rsidRPr="008444AB">
        <w:t>En az üç adet ihale işlem dosyasını incelemiş olmak.</w:t>
      </w:r>
    </w:p>
    <w:p w:rsidR="00880BA3" w:rsidRDefault="00FE649F" w:rsidP="00B849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</w:pPr>
      <w:r w:rsidRPr="0032015E">
        <w:rPr>
          <w:b/>
        </w:rPr>
        <w:t>SÜREÇ SAHİBİ</w:t>
      </w:r>
      <w:r w:rsidR="00244150" w:rsidRPr="0032015E">
        <w:rPr>
          <w:b/>
        </w:rPr>
        <w:t xml:space="preserve">: </w:t>
      </w:r>
      <w:r w:rsidRPr="0032015E">
        <w:t>Bu sürecin sahibi Mali Hizmetler Uzman Yardımcı</w:t>
      </w:r>
      <w:r w:rsidR="0032015E">
        <w:t>s</w:t>
      </w:r>
      <w:r w:rsidRPr="0032015E">
        <w:t>ıdır.</w:t>
      </w:r>
    </w:p>
    <w:p w:rsidR="00B664DD" w:rsidRDefault="00B664DD" w:rsidP="00B664DD">
      <w:pPr>
        <w:tabs>
          <w:tab w:val="left" w:pos="426"/>
        </w:tabs>
        <w:spacing w:line="360" w:lineRule="auto"/>
        <w:ind w:left="360"/>
        <w:jc w:val="both"/>
        <w:rPr>
          <w:b/>
        </w:rPr>
      </w:pPr>
    </w:p>
    <w:p w:rsidR="00B664DD" w:rsidRDefault="00B664DD" w:rsidP="00B664DD">
      <w:pPr>
        <w:tabs>
          <w:tab w:val="left" w:pos="426"/>
        </w:tabs>
        <w:spacing w:line="360" w:lineRule="auto"/>
        <w:ind w:left="360"/>
        <w:jc w:val="both"/>
        <w:rPr>
          <w:b/>
        </w:rPr>
      </w:pPr>
    </w:p>
    <w:p w:rsidR="00B664DD" w:rsidRDefault="00B664DD" w:rsidP="00B664DD">
      <w:pPr>
        <w:tabs>
          <w:tab w:val="left" w:pos="426"/>
        </w:tabs>
        <w:spacing w:line="360" w:lineRule="auto"/>
        <w:ind w:left="360"/>
        <w:jc w:val="both"/>
        <w:rPr>
          <w:b/>
        </w:rPr>
      </w:pPr>
    </w:p>
    <w:p w:rsidR="00B664DD" w:rsidRDefault="00B664DD" w:rsidP="00B664DD">
      <w:pPr>
        <w:tabs>
          <w:tab w:val="left" w:pos="426"/>
        </w:tabs>
        <w:spacing w:line="360" w:lineRule="auto"/>
        <w:ind w:left="360"/>
        <w:jc w:val="both"/>
        <w:rPr>
          <w:b/>
        </w:rPr>
      </w:pPr>
    </w:p>
    <w:p w:rsidR="00B664DD" w:rsidRDefault="00B664DD" w:rsidP="00B664DD">
      <w:pPr>
        <w:tabs>
          <w:tab w:val="left" w:pos="426"/>
        </w:tabs>
        <w:spacing w:line="360" w:lineRule="auto"/>
        <w:ind w:left="360"/>
        <w:jc w:val="both"/>
        <w:rPr>
          <w:b/>
        </w:rPr>
      </w:pPr>
    </w:p>
    <w:p w:rsidR="00B664DD" w:rsidRPr="0032015E" w:rsidRDefault="00B664DD" w:rsidP="00B664DD">
      <w:pPr>
        <w:tabs>
          <w:tab w:val="left" w:pos="426"/>
        </w:tabs>
        <w:spacing w:line="360" w:lineRule="auto"/>
        <w:ind w:left="360"/>
        <w:jc w:val="both"/>
      </w:pPr>
      <w:bookmarkStart w:id="0" w:name="_GoBack"/>
      <w:bookmarkEnd w:id="0"/>
    </w:p>
    <w:p w:rsidR="00244150" w:rsidRPr="0032015E" w:rsidRDefault="00244150" w:rsidP="00B8493F">
      <w:pPr>
        <w:numPr>
          <w:ilvl w:val="0"/>
          <w:numId w:val="1"/>
        </w:numPr>
        <w:jc w:val="both"/>
      </w:pPr>
      <w:r w:rsidRPr="0032015E">
        <w:rPr>
          <w:b/>
        </w:rPr>
        <w:t xml:space="preserve">SÜREÇ </w:t>
      </w:r>
      <w:r w:rsidR="006553E9" w:rsidRPr="0032015E">
        <w:rPr>
          <w:b/>
        </w:rPr>
        <w:t>RİSKİ</w:t>
      </w:r>
    </w:p>
    <w:p w:rsidR="004737E7" w:rsidRPr="0032015E" w:rsidRDefault="004737E7" w:rsidP="004737E7">
      <w:pPr>
        <w:ind w:left="360"/>
        <w:jc w:val="both"/>
      </w:pPr>
    </w:p>
    <w:p w:rsidR="004737E7" w:rsidRPr="0032015E" w:rsidRDefault="004737E7" w:rsidP="004737E7">
      <w:pPr>
        <w:pStyle w:val="ListeParagraf"/>
        <w:numPr>
          <w:ilvl w:val="1"/>
          <w:numId w:val="1"/>
        </w:numPr>
        <w:tabs>
          <w:tab w:val="clear" w:pos="420"/>
          <w:tab w:val="num" w:pos="426"/>
          <w:tab w:val="left" w:pos="537"/>
          <w:tab w:val="left" w:pos="993"/>
        </w:tabs>
        <w:spacing w:line="360" w:lineRule="auto"/>
        <w:ind w:left="426" w:firstLine="0"/>
        <w:jc w:val="both"/>
      </w:pPr>
      <w:r w:rsidRPr="0032015E">
        <w:t>İhalelerde ortaya çıkabilecek hata, usulsüzlük veya yolsuzlukların tespit edilemeyip uygun görüş verilmesi sonucunda hem birimin hem de Üniversitenin itibarını</w:t>
      </w:r>
      <w:r w:rsidR="00054B6A">
        <w:t>n</w:t>
      </w:r>
      <w:r w:rsidRPr="0032015E">
        <w:t xml:space="preserve"> zedelenmesi</w:t>
      </w:r>
      <w:r w:rsidR="000259EC" w:rsidRPr="0032015E">
        <w:t>,</w:t>
      </w:r>
    </w:p>
    <w:p w:rsidR="00AF6F80" w:rsidRPr="0032015E" w:rsidRDefault="000259EC" w:rsidP="00AF6F80">
      <w:pPr>
        <w:pStyle w:val="ListeParagraf"/>
        <w:numPr>
          <w:ilvl w:val="1"/>
          <w:numId w:val="1"/>
        </w:numPr>
        <w:tabs>
          <w:tab w:val="clear" w:pos="420"/>
          <w:tab w:val="num" w:pos="426"/>
          <w:tab w:val="left" w:pos="537"/>
          <w:tab w:val="left" w:pos="993"/>
        </w:tabs>
        <w:spacing w:line="360" w:lineRule="auto"/>
        <w:ind w:left="426" w:firstLine="0"/>
        <w:jc w:val="both"/>
      </w:pPr>
      <w:r w:rsidRPr="0032015E">
        <w:t>Ön mali kontrole gelen ihale işlem dosyasındaki belgelerin çalınması, değiştirilmesi</w:t>
      </w:r>
      <w:r w:rsidR="00AF6F80" w:rsidRPr="0032015E">
        <w:t xml:space="preserve"> veya tahrip edilmesi sonucunda hem birimin hem de Üniversitenin itibarını</w:t>
      </w:r>
      <w:r w:rsidR="00054B6A">
        <w:t>n</w:t>
      </w:r>
      <w:r w:rsidR="00AF6F80" w:rsidRPr="0032015E">
        <w:t xml:space="preserve"> zedelenmesi,</w:t>
      </w:r>
    </w:p>
    <w:p w:rsidR="00800412" w:rsidRPr="0032015E" w:rsidRDefault="00800412" w:rsidP="00800412">
      <w:pPr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</w:pPr>
      <w:r w:rsidRPr="0032015E">
        <w:t>Ön mali kontrol sürecine üçüncü kişilerin müdahalede bulunması.</w:t>
      </w:r>
    </w:p>
    <w:p w:rsidR="006553E9" w:rsidRPr="0032015E" w:rsidRDefault="006553E9" w:rsidP="00CC1CBE">
      <w:pPr>
        <w:numPr>
          <w:ilvl w:val="0"/>
          <w:numId w:val="1"/>
        </w:numPr>
        <w:spacing w:line="360" w:lineRule="auto"/>
        <w:jc w:val="both"/>
      </w:pPr>
      <w:r w:rsidRPr="0032015E">
        <w:rPr>
          <w:b/>
        </w:rPr>
        <w:t>KONTROL STRATEJİ VE YÖNTEMLERİ</w:t>
      </w:r>
    </w:p>
    <w:p w:rsidR="006553E9" w:rsidRPr="0032015E" w:rsidRDefault="00DC681F" w:rsidP="004737E7">
      <w:pPr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</w:pPr>
      <w:r w:rsidRPr="0032015E">
        <w:t>Kamu İhale Kurumu</w:t>
      </w:r>
      <w:r w:rsidR="000259EC" w:rsidRPr="0032015E">
        <w:t xml:space="preserve"> </w:t>
      </w:r>
      <w:r w:rsidR="00A67FE8" w:rsidRPr="0032015E">
        <w:t xml:space="preserve">başta olmak üzere kurumlarca </w:t>
      </w:r>
      <w:r w:rsidR="005852F4" w:rsidRPr="0032015E">
        <w:t>düzenle</w:t>
      </w:r>
      <w:r w:rsidR="000259EC" w:rsidRPr="0032015E">
        <w:t>n</w:t>
      </w:r>
      <w:r w:rsidR="005852F4" w:rsidRPr="0032015E">
        <w:t xml:space="preserve">en </w:t>
      </w:r>
      <w:r w:rsidR="00800412" w:rsidRPr="0032015E">
        <w:t xml:space="preserve">ihale </w:t>
      </w:r>
      <w:r w:rsidR="000259EC" w:rsidRPr="0032015E">
        <w:t>eğitimler</w:t>
      </w:r>
      <w:r w:rsidR="00800412" w:rsidRPr="0032015E">
        <w:t>ine</w:t>
      </w:r>
      <w:r w:rsidR="000259EC" w:rsidRPr="0032015E">
        <w:t xml:space="preserve"> ilgili personelin düzenli olarak katılımının sağlanması,</w:t>
      </w:r>
    </w:p>
    <w:p w:rsidR="00242F05" w:rsidRPr="0032015E" w:rsidRDefault="00800412" w:rsidP="004737E7">
      <w:pPr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</w:pPr>
      <w:r w:rsidRPr="0032015E">
        <w:t>Kontrol sürecinin birden fazla kişi tarafından yapılması,</w:t>
      </w:r>
    </w:p>
    <w:p w:rsidR="00AF6F80" w:rsidRPr="0032015E" w:rsidRDefault="00AF6F80" w:rsidP="004737E7">
      <w:pPr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</w:pPr>
      <w:r w:rsidRPr="0032015E">
        <w:t>İhale işlem dosyasına üçüncü kişilerin ulaşımının engellenmesi ve işlemi biten dosyaların</w:t>
      </w:r>
      <w:r w:rsidR="00E97B8D" w:rsidRPr="0032015E">
        <w:t>,</w:t>
      </w:r>
      <w:r w:rsidRPr="0032015E">
        <w:t xml:space="preserve"> güvenlik önlemleri standartların üzerinde olan yerlerde saklanması,</w:t>
      </w:r>
    </w:p>
    <w:p w:rsidR="00800412" w:rsidRPr="0032015E" w:rsidRDefault="00800412" w:rsidP="004737E7">
      <w:pPr>
        <w:numPr>
          <w:ilvl w:val="1"/>
          <w:numId w:val="1"/>
        </w:numPr>
        <w:tabs>
          <w:tab w:val="clear" w:pos="420"/>
          <w:tab w:val="left" w:pos="993"/>
        </w:tabs>
        <w:spacing w:line="360" w:lineRule="auto"/>
        <w:ind w:left="426" w:firstLine="0"/>
        <w:jc w:val="both"/>
      </w:pPr>
      <w:r w:rsidRPr="0032015E">
        <w:t>Üst yöneticinin zamanında ve doğru olarak bilgilendirilip desteğinin alınması.</w:t>
      </w:r>
    </w:p>
    <w:p w:rsidR="00B8493F" w:rsidRPr="0032015E" w:rsidRDefault="00B8493F" w:rsidP="00B8493F">
      <w:pPr>
        <w:numPr>
          <w:ilvl w:val="0"/>
          <w:numId w:val="1"/>
        </w:numPr>
        <w:spacing w:line="360" w:lineRule="auto"/>
        <w:jc w:val="both"/>
      </w:pPr>
      <w:r w:rsidRPr="0032015E">
        <w:rPr>
          <w:b/>
        </w:rPr>
        <w:t>KONTROL STRATEJİ VE YÖNTEMLERİNE İLİŞKİN FAYDA MALİYET ANALİZİ</w:t>
      </w:r>
    </w:p>
    <w:p w:rsidR="00880BA3" w:rsidRPr="0032015E" w:rsidRDefault="00C043F9" w:rsidP="00C043F9">
      <w:pPr>
        <w:spacing w:line="360" w:lineRule="auto"/>
        <w:ind w:firstLine="426"/>
        <w:jc w:val="both"/>
      </w:pPr>
      <w:r w:rsidRPr="0032015E">
        <w:t>Risk strateji belgesinde Üniversitenin itibarı</w:t>
      </w:r>
      <w:r w:rsidR="00105F85">
        <w:t>nın zedelenmesi</w:t>
      </w:r>
      <w:r w:rsidRPr="0032015E">
        <w:t xml:space="preserve"> kilit riskler arasında sayılmıştır. Bu yüzden sürece ilişkin risk yönetimi hassas bir öneme sahiptir. </w:t>
      </w:r>
      <w:r w:rsidR="00ED739D" w:rsidRPr="0032015E">
        <w:t>İki, üç ve dördüncü</w:t>
      </w:r>
      <w:r w:rsidR="005852F4" w:rsidRPr="0032015E">
        <w:t xml:space="preserve"> k</w:t>
      </w:r>
      <w:r w:rsidR="00B8493F" w:rsidRPr="0032015E">
        <w:t>ontrol strateji ve yöntemlerin</w:t>
      </w:r>
      <w:r w:rsidR="005852F4" w:rsidRPr="0032015E">
        <w:t>in parasal bir maliyeti olmayıp risklerin önlenmesine ilişkin faydaları yüksektir.</w:t>
      </w:r>
      <w:r w:rsidR="00B8493F" w:rsidRPr="0032015E">
        <w:t xml:space="preserve"> </w:t>
      </w:r>
      <w:r w:rsidR="00A67FE8" w:rsidRPr="0032015E">
        <w:t>Birinci kontrol strateji ve yöntemine ilişkin; bir</w:t>
      </w:r>
      <w:r w:rsidR="00ED739D" w:rsidRPr="0032015E">
        <w:t xml:space="preserve"> personelin yılda</w:t>
      </w:r>
      <w:r w:rsidR="00105F85">
        <w:t xml:space="preserve"> 10</w:t>
      </w:r>
      <w:r w:rsidR="00A67FE8" w:rsidRPr="0032015E">
        <w:t xml:space="preserve"> gün eğitimlere katılmasıyla 850,00</w:t>
      </w:r>
      <w:r w:rsidR="004102A6">
        <w:rPr>
          <w:rFonts w:ascii="AbakuTLSymSans" w:hAnsi="AbakuTLSymSans"/>
        </w:rPr>
        <w:t>¨</w:t>
      </w:r>
      <w:r w:rsidR="00A67FE8" w:rsidRPr="0032015E">
        <w:t xml:space="preserve"> </w:t>
      </w:r>
      <w:r w:rsidR="004102A6">
        <w:t>h</w:t>
      </w:r>
      <w:r w:rsidR="00A67FE8" w:rsidRPr="0032015E">
        <w:t>arcırah ve</w:t>
      </w:r>
      <w:r w:rsidR="004102A6">
        <w:t xml:space="preserve"> düzenlenen eğitimlere 2.000,00</w:t>
      </w:r>
      <w:r w:rsidR="004102A6">
        <w:rPr>
          <w:rFonts w:ascii="AbakuTLSymSans" w:hAnsi="AbakuTLSymSans"/>
        </w:rPr>
        <w:t xml:space="preserve">¨ </w:t>
      </w:r>
      <w:r w:rsidR="00A67FE8" w:rsidRPr="0032015E">
        <w:t>katılım ücreti olarak ödendiğinde bir k</w:t>
      </w:r>
      <w:r w:rsidR="004102A6">
        <w:t>işinin yıllık maliyeti 2.850,00</w:t>
      </w:r>
      <w:r w:rsidR="004102A6">
        <w:rPr>
          <w:rFonts w:ascii="AbakuTLSymSans" w:hAnsi="AbakuTLSymSans"/>
        </w:rPr>
        <w:t>¨</w:t>
      </w:r>
      <w:r w:rsidR="00A67FE8" w:rsidRPr="0032015E">
        <w:t xml:space="preserve"> olmaktadır. Ön mali kontrol biriminde </w:t>
      </w:r>
      <w:r w:rsidR="00F21157">
        <w:t>bir</w:t>
      </w:r>
      <w:r w:rsidR="00A67FE8" w:rsidRPr="0032015E">
        <w:t xml:space="preserve"> mali hizmetler uzman yardımcısı</w:t>
      </w:r>
      <w:r w:rsidR="00F21157">
        <w:t xml:space="preserve">, </w:t>
      </w:r>
      <w:proofErr w:type="gramStart"/>
      <w:r w:rsidR="00F21157">
        <w:t xml:space="preserve">bir </w:t>
      </w:r>
      <w:r w:rsidR="00A67FE8" w:rsidRPr="0032015E">
        <w:t xml:space="preserve"> ve</w:t>
      </w:r>
      <w:proofErr w:type="gramEnd"/>
      <w:r w:rsidR="00A67FE8" w:rsidRPr="0032015E">
        <w:t xml:space="preserve"> daire başkanı çalışmakta olup kontrol strateji ve yönteminin yıllık toplam maliyeti </w:t>
      </w:r>
      <w:r w:rsidR="00F21157">
        <w:t>8.550</w:t>
      </w:r>
      <w:r w:rsidR="004102A6">
        <w:t>,00</w:t>
      </w:r>
      <w:r w:rsidR="004102A6">
        <w:rPr>
          <w:rFonts w:ascii="AbakuTLSymSans" w:hAnsi="AbakuTLSymSans"/>
        </w:rPr>
        <w:t>¨</w:t>
      </w:r>
      <w:r w:rsidR="00A67FE8" w:rsidRPr="0032015E">
        <w:t xml:space="preserve">’dir. </w:t>
      </w:r>
    </w:p>
    <w:p w:rsidR="00DC681F" w:rsidRPr="0032015E" w:rsidRDefault="00DC681F" w:rsidP="00C043F9">
      <w:pPr>
        <w:spacing w:line="360" w:lineRule="auto"/>
        <w:ind w:firstLine="426"/>
        <w:jc w:val="both"/>
      </w:pPr>
    </w:p>
    <w:p w:rsidR="00B33FF5" w:rsidRPr="0032015E" w:rsidRDefault="0095731C" w:rsidP="00CC1CBE">
      <w:pPr>
        <w:spacing w:line="360" w:lineRule="auto"/>
        <w:jc w:val="both"/>
      </w:pPr>
      <w:r>
        <w:object w:dxaOrig="10062" w:dyaOrig="12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12pt" o:ole="">
            <v:imagedata r:id="rId9" o:title=""/>
          </v:shape>
          <o:OLEObject Type="Embed" ProgID="Visio.Drawing.11" ShapeID="_x0000_i1025" DrawAspect="Content" ObjectID="_1668323095" r:id="rId10"/>
        </w:object>
      </w:r>
    </w:p>
    <w:sectPr w:rsidR="00B33FF5" w:rsidRPr="0032015E" w:rsidSect="00D143B7">
      <w:headerReference w:type="default" r:id="rId11"/>
      <w:footerReference w:type="default" r:id="rId12"/>
      <w:pgSz w:w="11906" w:h="16838"/>
      <w:pgMar w:top="1417" w:right="849" w:bottom="426" w:left="1134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DB" w:rsidRDefault="00607DDB" w:rsidP="009D396F">
      <w:r>
        <w:separator/>
      </w:r>
    </w:p>
  </w:endnote>
  <w:endnote w:type="continuationSeparator" w:id="0">
    <w:p w:rsidR="00607DDB" w:rsidRDefault="00607DDB" w:rsidP="009D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bakuTLSymSans">
    <w:panose1 w:val="02000503000000000000"/>
    <w:charset w:val="A2"/>
    <w:family w:val="auto"/>
    <w:pitch w:val="variable"/>
    <w:sig w:usb0="8000006F" w:usb1="000001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B664DD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B664DD" w:rsidRPr="00B664DD" w:rsidRDefault="00B664DD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B664DD">
            <w:rPr>
              <w:b/>
              <w:sz w:val="20"/>
              <w:szCs w:val="20"/>
            </w:rPr>
            <w:t>HAZIRLAYAN</w:t>
          </w:r>
        </w:p>
        <w:p w:rsidR="00B664DD" w:rsidRPr="00B664DD" w:rsidRDefault="00B664DD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B664DD" w:rsidRPr="00B664DD" w:rsidRDefault="00B664DD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B664DD" w:rsidRPr="00B664DD" w:rsidRDefault="00B664DD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B664DD" w:rsidRPr="00B664DD" w:rsidRDefault="00B664DD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B664DD">
            <w:rPr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B664DD" w:rsidRPr="00B664DD" w:rsidRDefault="00B664DD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B664DD">
            <w:rPr>
              <w:b/>
              <w:sz w:val="20"/>
              <w:szCs w:val="20"/>
            </w:rPr>
            <w:t>ONAYLAYAN</w:t>
          </w:r>
        </w:p>
      </w:tc>
    </w:tr>
  </w:tbl>
  <w:p w:rsidR="00D143B7" w:rsidRPr="00151E02" w:rsidRDefault="00D143B7" w:rsidP="00D143B7">
    <w:pPr>
      <w:pStyle w:val="Altbilgi"/>
      <w:rPr>
        <w:rFonts w:ascii="Arial" w:hAnsi="Arial" w:cs="Arial"/>
        <w:i/>
        <w:sz w:val="16"/>
      </w:rPr>
    </w:pPr>
  </w:p>
  <w:p w:rsidR="00D143B7" w:rsidRDefault="00D143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DB" w:rsidRDefault="00607DDB" w:rsidP="009D396F">
      <w:r>
        <w:separator/>
      </w:r>
    </w:p>
  </w:footnote>
  <w:footnote w:type="continuationSeparator" w:id="0">
    <w:p w:rsidR="00607DDB" w:rsidRDefault="00607DDB" w:rsidP="009D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76"/>
      <w:gridCol w:w="4820"/>
      <w:gridCol w:w="2126"/>
      <w:gridCol w:w="1559"/>
    </w:tblGrid>
    <w:tr w:rsidR="00C77287" w:rsidRPr="00995C28" w:rsidTr="00C77287">
      <w:trPr>
        <w:trHeight w:val="280"/>
      </w:trPr>
      <w:tc>
        <w:tcPr>
          <w:tcW w:w="1276" w:type="dxa"/>
          <w:vMerge w:val="restart"/>
          <w:vAlign w:val="center"/>
        </w:tcPr>
        <w:p w:rsidR="00C77287" w:rsidRPr="00995C28" w:rsidRDefault="00F21157" w:rsidP="00E820F0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720032AA" wp14:editId="0CA49906">
                <wp:extent cx="685800" cy="685800"/>
                <wp:effectExtent l="0" t="0" r="0" b="0"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C77287" w:rsidRDefault="00C77287" w:rsidP="00E820F0">
          <w:pPr>
            <w:spacing w:after="120"/>
            <w:jc w:val="center"/>
            <w:rPr>
              <w:b/>
              <w:sz w:val="28"/>
              <w:szCs w:val="28"/>
            </w:rPr>
          </w:pPr>
        </w:p>
        <w:p w:rsidR="00C77287" w:rsidRPr="00687180" w:rsidRDefault="00C77287" w:rsidP="00E820F0">
          <w:pPr>
            <w:spacing w:after="120"/>
            <w:jc w:val="center"/>
            <w:rPr>
              <w:b/>
            </w:rPr>
          </w:pPr>
          <w:r>
            <w:rPr>
              <w:b/>
            </w:rPr>
            <w:t xml:space="preserve"> SÜREÇ ANALİZ FORMU</w:t>
          </w:r>
          <w:r>
            <w:rPr>
              <w:b/>
            </w:rPr>
            <w:br/>
            <w:t>(ÖN MALİ KONTROL)</w:t>
          </w:r>
        </w:p>
        <w:p w:rsidR="00C77287" w:rsidRPr="00936F87" w:rsidRDefault="00C77287" w:rsidP="00E820F0">
          <w:pPr>
            <w:pStyle w:val="stbilgi"/>
            <w:jc w:val="center"/>
            <w:rPr>
              <w:b/>
            </w:rPr>
          </w:pPr>
        </w:p>
      </w:tc>
      <w:tc>
        <w:tcPr>
          <w:tcW w:w="2126" w:type="dxa"/>
          <w:vAlign w:val="center"/>
        </w:tcPr>
        <w:p w:rsidR="00C77287" w:rsidRPr="00992570" w:rsidRDefault="00C77287" w:rsidP="00E820F0">
          <w:pPr>
            <w:pStyle w:val="stbilgi"/>
          </w:pPr>
          <w:r w:rsidRPr="00992570">
            <w:t>Doküman No</w:t>
          </w:r>
        </w:p>
      </w:tc>
      <w:tc>
        <w:tcPr>
          <w:tcW w:w="1559" w:type="dxa"/>
          <w:vAlign w:val="center"/>
        </w:tcPr>
        <w:p w:rsidR="00C77287" w:rsidRPr="00992570" w:rsidRDefault="0036540D" w:rsidP="00E820F0">
          <w:pPr>
            <w:pStyle w:val="stbilgi"/>
            <w:rPr>
              <w:sz w:val="18"/>
            </w:rPr>
          </w:pPr>
          <w:r>
            <w:rPr>
              <w:sz w:val="18"/>
            </w:rPr>
            <w:t>FR-221</w:t>
          </w:r>
        </w:p>
      </w:tc>
    </w:tr>
    <w:tr w:rsidR="00C77287" w:rsidRPr="00995C28" w:rsidTr="00C77287">
      <w:trPr>
        <w:trHeight w:val="280"/>
      </w:trPr>
      <w:tc>
        <w:tcPr>
          <w:tcW w:w="1276" w:type="dxa"/>
          <w:vMerge/>
          <w:vAlign w:val="center"/>
        </w:tcPr>
        <w:p w:rsidR="00C77287" w:rsidRPr="00995C28" w:rsidRDefault="00C77287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C77287" w:rsidRPr="00995C28" w:rsidRDefault="00C77287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C77287" w:rsidRPr="00992570" w:rsidRDefault="00C77287" w:rsidP="00E820F0">
          <w:pPr>
            <w:pStyle w:val="stbilgi"/>
          </w:pPr>
          <w:r w:rsidRPr="00992570">
            <w:t>İlk Yayın Tarihi</w:t>
          </w:r>
        </w:p>
      </w:tc>
      <w:tc>
        <w:tcPr>
          <w:tcW w:w="1559" w:type="dxa"/>
          <w:vAlign w:val="center"/>
        </w:tcPr>
        <w:p w:rsidR="00C77287" w:rsidRPr="00992570" w:rsidRDefault="00B664DD" w:rsidP="00E820F0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C77287" w:rsidRPr="00995C28" w:rsidTr="00C77287">
      <w:trPr>
        <w:trHeight w:val="253"/>
      </w:trPr>
      <w:tc>
        <w:tcPr>
          <w:tcW w:w="1276" w:type="dxa"/>
          <w:vMerge/>
          <w:vAlign w:val="center"/>
        </w:tcPr>
        <w:p w:rsidR="00C77287" w:rsidRPr="00995C28" w:rsidRDefault="00C77287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C77287" w:rsidRPr="00995C28" w:rsidRDefault="00C77287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C77287" w:rsidRPr="00992570" w:rsidRDefault="00C77287" w:rsidP="00E820F0">
          <w:pPr>
            <w:pStyle w:val="stbilgi"/>
          </w:pPr>
          <w:r w:rsidRPr="00992570">
            <w:t>Revizyon Tarihi</w:t>
          </w:r>
        </w:p>
      </w:tc>
      <w:tc>
        <w:tcPr>
          <w:tcW w:w="1559" w:type="dxa"/>
          <w:vAlign w:val="center"/>
        </w:tcPr>
        <w:p w:rsidR="00C77287" w:rsidRPr="00992570" w:rsidRDefault="00C77287" w:rsidP="00E820F0">
          <w:pPr>
            <w:pStyle w:val="stbilgi"/>
            <w:rPr>
              <w:sz w:val="18"/>
            </w:rPr>
          </w:pPr>
        </w:p>
      </w:tc>
    </w:tr>
    <w:tr w:rsidR="00C77287" w:rsidRPr="00995C28" w:rsidTr="00C77287">
      <w:trPr>
        <w:trHeight w:val="280"/>
      </w:trPr>
      <w:tc>
        <w:tcPr>
          <w:tcW w:w="1276" w:type="dxa"/>
          <w:vMerge/>
          <w:vAlign w:val="center"/>
        </w:tcPr>
        <w:p w:rsidR="00C77287" w:rsidRPr="00995C28" w:rsidRDefault="00C77287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C77287" w:rsidRPr="00995C28" w:rsidRDefault="00C77287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C77287" w:rsidRPr="00992570" w:rsidRDefault="00C77287" w:rsidP="00E820F0">
          <w:pPr>
            <w:pStyle w:val="stbilgi"/>
          </w:pPr>
          <w:r w:rsidRPr="00992570">
            <w:t>Revizyon No</w:t>
          </w:r>
        </w:p>
      </w:tc>
      <w:tc>
        <w:tcPr>
          <w:tcW w:w="1559" w:type="dxa"/>
          <w:vAlign w:val="center"/>
        </w:tcPr>
        <w:p w:rsidR="00C77287" w:rsidRPr="00992570" w:rsidRDefault="00C77287" w:rsidP="00E820F0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00</w:t>
          </w:r>
        </w:p>
      </w:tc>
    </w:tr>
    <w:tr w:rsidR="00C77287" w:rsidRPr="00995C28" w:rsidTr="00C77287">
      <w:trPr>
        <w:trHeight w:val="283"/>
      </w:trPr>
      <w:tc>
        <w:tcPr>
          <w:tcW w:w="1276" w:type="dxa"/>
          <w:vMerge/>
          <w:vAlign w:val="center"/>
        </w:tcPr>
        <w:p w:rsidR="00C77287" w:rsidRPr="00995C28" w:rsidRDefault="00C77287" w:rsidP="00E820F0">
          <w:pPr>
            <w:pStyle w:val="stbilgi"/>
            <w:jc w:val="center"/>
          </w:pPr>
        </w:p>
      </w:tc>
      <w:tc>
        <w:tcPr>
          <w:tcW w:w="4820" w:type="dxa"/>
          <w:vMerge/>
          <w:vAlign w:val="center"/>
        </w:tcPr>
        <w:p w:rsidR="00C77287" w:rsidRPr="00995C28" w:rsidRDefault="00C77287" w:rsidP="00E820F0">
          <w:pPr>
            <w:pStyle w:val="stbilgi"/>
            <w:jc w:val="center"/>
          </w:pPr>
        </w:p>
      </w:tc>
      <w:tc>
        <w:tcPr>
          <w:tcW w:w="2126" w:type="dxa"/>
          <w:vAlign w:val="center"/>
        </w:tcPr>
        <w:p w:rsidR="00C77287" w:rsidRPr="00992570" w:rsidRDefault="00C77287" w:rsidP="00E820F0">
          <w:pPr>
            <w:pStyle w:val="stbilgi"/>
          </w:pPr>
          <w:r w:rsidRPr="00992570">
            <w:t>Sayfa No</w:t>
          </w:r>
        </w:p>
      </w:tc>
      <w:tc>
        <w:tcPr>
          <w:tcW w:w="1559" w:type="dxa"/>
          <w:vAlign w:val="center"/>
        </w:tcPr>
        <w:p w:rsidR="00C77287" w:rsidRPr="00992570" w:rsidRDefault="0007692E" w:rsidP="00E820F0">
          <w:pPr>
            <w:pStyle w:val="stbilgi"/>
            <w:rPr>
              <w:sz w:val="18"/>
            </w:rPr>
          </w:pPr>
          <w:r>
            <w:rPr>
              <w:sz w:val="18"/>
            </w:rPr>
            <w:t>1/1</w:t>
          </w:r>
        </w:p>
      </w:tc>
    </w:tr>
  </w:tbl>
  <w:p w:rsidR="009D396F" w:rsidRDefault="009D39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003"/>
    <w:multiLevelType w:val="multilevel"/>
    <w:tmpl w:val="49664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3277A6"/>
    <w:multiLevelType w:val="hybridMultilevel"/>
    <w:tmpl w:val="CADCE1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8D0A66"/>
    <w:multiLevelType w:val="hybridMultilevel"/>
    <w:tmpl w:val="089E0484"/>
    <w:lvl w:ilvl="0" w:tplc="B81EF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50"/>
    <w:rsid w:val="00000734"/>
    <w:rsid w:val="00003680"/>
    <w:rsid w:val="00005858"/>
    <w:rsid w:val="00014AC1"/>
    <w:rsid w:val="000166AF"/>
    <w:rsid w:val="000259EC"/>
    <w:rsid w:val="00054B6A"/>
    <w:rsid w:val="00064487"/>
    <w:rsid w:val="00065B8B"/>
    <w:rsid w:val="0006625F"/>
    <w:rsid w:val="000736E9"/>
    <w:rsid w:val="0007692E"/>
    <w:rsid w:val="00085577"/>
    <w:rsid w:val="00087EDC"/>
    <w:rsid w:val="000942A9"/>
    <w:rsid w:val="000B1B56"/>
    <w:rsid w:val="000C2DC7"/>
    <w:rsid w:val="000D1C5E"/>
    <w:rsid w:val="000D3B76"/>
    <w:rsid w:val="000E1866"/>
    <w:rsid w:val="000E711F"/>
    <w:rsid w:val="000F401A"/>
    <w:rsid w:val="000F70A3"/>
    <w:rsid w:val="000F7DCB"/>
    <w:rsid w:val="00105F85"/>
    <w:rsid w:val="00115F64"/>
    <w:rsid w:val="00117606"/>
    <w:rsid w:val="00150466"/>
    <w:rsid w:val="00151638"/>
    <w:rsid w:val="00162616"/>
    <w:rsid w:val="00162E7C"/>
    <w:rsid w:val="001663C8"/>
    <w:rsid w:val="00170918"/>
    <w:rsid w:val="001741F9"/>
    <w:rsid w:val="00177E17"/>
    <w:rsid w:val="0018119D"/>
    <w:rsid w:val="001970A9"/>
    <w:rsid w:val="001A10F2"/>
    <w:rsid w:val="001B0C1A"/>
    <w:rsid w:val="001E7310"/>
    <w:rsid w:val="001F0490"/>
    <w:rsid w:val="001F060F"/>
    <w:rsid w:val="001F103E"/>
    <w:rsid w:val="002029C7"/>
    <w:rsid w:val="00213195"/>
    <w:rsid w:val="00222A57"/>
    <w:rsid w:val="00230C2B"/>
    <w:rsid w:val="0023505A"/>
    <w:rsid w:val="00242F05"/>
    <w:rsid w:val="00244150"/>
    <w:rsid w:val="00254DD4"/>
    <w:rsid w:val="00265096"/>
    <w:rsid w:val="00276226"/>
    <w:rsid w:val="00281688"/>
    <w:rsid w:val="00285BED"/>
    <w:rsid w:val="002A5437"/>
    <w:rsid w:val="002B55E1"/>
    <w:rsid w:val="002C7DDA"/>
    <w:rsid w:val="002E31B8"/>
    <w:rsid w:val="002E4C2D"/>
    <w:rsid w:val="002E5D98"/>
    <w:rsid w:val="00304C2A"/>
    <w:rsid w:val="00314A6E"/>
    <w:rsid w:val="0032015E"/>
    <w:rsid w:val="00323297"/>
    <w:rsid w:val="00323668"/>
    <w:rsid w:val="003258A9"/>
    <w:rsid w:val="00340289"/>
    <w:rsid w:val="00343677"/>
    <w:rsid w:val="00353E0A"/>
    <w:rsid w:val="00354E38"/>
    <w:rsid w:val="0036540D"/>
    <w:rsid w:val="00370DCB"/>
    <w:rsid w:val="00381867"/>
    <w:rsid w:val="0039640C"/>
    <w:rsid w:val="003B1402"/>
    <w:rsid w:val="003B1C89"/>
    <w:rsid w:val="003D22CD"/>
    <w:rsid w:val="003E5D0B"/>
    <w:rsid w:val="003F0571"/>
    <w:rsid w:val="00402B99"/>
    <w:rsid w:val="004034F7"/>
    <w:rsid w:val="004102A6"/>
    <w:rsid w:val="0045687A"/>
    <w:rsid w:val="004664BC"/>
    <w:rsid w:val="00470111"/>
    <w:rsid w:val="004737E7"/>
    <w:rsid w:val="00476B39"/>
    <w:rsid w:val="004B32A7"/>
    <w:rsid w:val="004B4EE6"/>
    <w:rsid w:val="004C764B"/>
    <w:rsid w:val="004D5DCE"/>
    <w:rsid w:val="004E3B1F"/>
    <w:rsid w:val="004E71C8"/>
    <w:rsid w:val="005040AE"/>
    <w:rsid w:val="0050448C"/>
    <w:rsid w:val="0050617F"/>
    <w:rsid w:val="00511259"/>
    <w:rsid w:val="00515ABE"/>
    <w:rsid w:val="00515B71"/>
    <w:rsid w:val="005313ED"/>
    <w:rsid w:val="00531B09"/>
    <w:rsid w:val="00531B74"/>
    <w:rsid w:val="00535B7D"/>
    <w:rsid w:val="00536C07"/>
    <w:rsid w:val="00562FE3"/>
    <w:rsid w:val="005852F4"/>
    <w:rsid w:val="005937E3"/>
    <w:rsid w:val="005A46CC"/>
    <w:rsid w:val="005A4878"/>
    <w:rsid w:val="005D44D0"/>
    <w:rsid w:val="005E282C"/>
    <w:rsid w:val="00607DDB"/>
    <w:rsid w:val="00612ECA"/>
    <w:rsid w:val="006432E2"/>
    <w:rsid w:val="006553E9"/>
    <w:rsid w:val="0066710E"/>
    <w:rsid w:val="0067089B"/>
    <w:rsid w:val="006805D5"/>
    <w:rsid w:val="006810CB"/>
    <w:rsid w:val="0068775A"/>
    <w:rsid w:val="006C111B"/>
    <w:rsid w:val="006D0EE3"/>
    <w:rsid w:val="006D79F6"/>
    <w:rsid w:val="006D7FE5"/>
    <w:rsid w:val="006F42CF"/>
    <w:rsid w:val="00700D63"/>
    <w:rsid w:val="00712628"/>
    <w:rsid w:val="007256F5"/>
    <w:rsid w:val="007335DB"/>
    <w:rsid w:val="00745B93"/>
    <w:rsid w:val="00753951"/>
    <w:rsid w:val="00761321"/>
    <w:rsid w:val="007623CD"/>
    <w:rsid w:val="00764DF9"/>
    <w:rsid w:val="007813A9"/>
    <w:rsid w:val="00781655"/>
    <w:rsid w:val="00786109"/>
    <w:rsid w:val="007A1D4B"/>
    <w:rsid w:val="007A3915"/>
    <w:rsid w:val="007C1A59"/>
    <w:rsid w:val="007D216F"/>
    <w:rsid w:val="007D677C"/>
    <w:rsid w:val="00800412"/>
    <w:rsid w:val="0080471B"/>
    <w:rsid w:val="00813D46"/>
    <w:rsid w:val="00827AF2"/>
    <w:rsid w:val="008362C5"/>
    <w:rsid w:val="008372F0"/>
    <w:rsid w:val="00845BAA"/>
    <w:rsid w:val="00845E85"/>
    <w:rsid w:val="008462A3"/>
    <w:rsid w:val="008503A5"/>
    <w:rsid w:val="0085045C"/>
    <w:rsid w:val="00851FE2"/>
    <w:rsid w:val="00862D1A"/>
    <w:rsid w:val="00880BA3"/>
    <w:rsid w:val="008A1DC9"/>
    <w:rsid w:val="008D1DB0"/>
    <w:rsid w:val="008D5083"/>
    <w:rsid w:val="008E127B"/>
    <w:rsid w:val="008E2689"/>
    <w:rsid w:val="008F78D4"/>
    <w:rsid w:val="0090398C"/>
    <w:rsid w:val="00907436"/>
    <w:rsid w:val="00921B4C"/>
    <w:rsid w:val="0093531C"/>
    <w:rsid w:val="00936E3A"/>
    <w:rsid w:val="00956C7E"/>
    <w:rsid w:val="0095731C"/>
    <w:rsid w:val="00963A26"/>
    <w:rsid w:val="00966B87"/>
    <w:rsid w:val="00974658"/>
    <w:rsid w:val="00974D22"/>
    <w:rsid w:val="00986391"/>
    <w:rsid w:val="009A0ED4"/>
    <w:rsid w:val="009A4EE8"/>
    <w:rsid w:val="009B2911"/>
    <w:rsid w:val="009C35BA"/>
    <w:rsid w:val="009D396F"/>
    <w:rsid w:val="009E1727"/>
    <w:rsid w:val="009F7F89"/>
    <w:rsid w:val="00A04644"/>
    <w:rsid w:val="00A05A18"/>
    <w:rsid w:val="00A11C26"/>
    <w:rsid w:val="00A15521"/>
    <w:rsid w:val="00A16CB6"/>
    <w:rsid w:val="00A2430C"/>
    <w:rsid w:val="00A267D9"/>
    <w:rsid w:val="00A413FF"/>
    <w:rsid w:val="00A41981"/>
    <w:rsid w:val="00A46765"/>
    <w:rsid w:val="00A67FE8"/>
    <w:rsid w:val="00A80E9C"/>
    <w:rsid w:val="00A83042"/>
    <w:rsid w:val="00A92B53"/>
    <w:rsid w:val="00A9685C"/>
    <w:rsid w:val="00AB2CF3"/>
    <w:rsid w:val="00AD2E57"/>
    <w:rsid w:val="00AD2F37"/>
    <w:rsid w:val="00AE09DC"/>
    <w:rsid w:val="00AE4026"/>
    <w:rsid w:val="00AF4AA3"/>
    <w:rsid w:val="00AF6F80"/>
    <w:rsid w:val="00B02A9C"/>
    <w:rsid w:val="00B03D73"/>
    <w:rsid w:val="00B05B1B"/>
    <w:rsid w:val="00B10528"/>
    <w:rsid w:val="00B1472D"/>
    <w:rsid w:val="00B1775B"/>
    <w:rsid w:val="00B27F45"/>
    <w:rsid w:val="00B33FF5"/>
    <w:rsid w:val="00B50FF6"/>
    <w:rsid w:val="00B53B5E"/>
    <w:rsid w:val="00B664DD"/>
    <w:rsid w:val="00B72D18"/>
    <w:rsid w:val="00B75488"/>
    <w:rsid w:val="00B75F21"/>
    <w:rsid w:val="00B8493F"/>
    <w:rsid w:val="00BB1B9F"/>
    <w:rsid w:val="00BB262B"/>
    <w:rsid w:val="00BB66D6"/>
    <w:rsid w:val="00BB7E7C"/>
    <w:rsid w:val="00BE6867"/>
    <w:rsid w:val="00C043F9"/>
    <w:rsid w:val="00C05F3E"/>
    <w:rsid w:val="00C17772"/>
    <w:rsid w:val="00C312E2"/>
    <w:rsid w:val="00C32219"/>
    <w:rsid w:val="00C63DF0"/>
    <w:rsid w:val="00C63E8D"/>
    <w:rsid w:val="00C73B09"/>
    <w:rsid w:val="00C77287"/>
    <w:rsid w:val="00C87140"/>
    <w:rsid w:val="00CA45F3"/>
    <w:rsid w:val="00CB0137"/>
    <w:rsid w:val="00CB0B5A"/>
    <w:rsid w:val="00CC0685"/>
    <w:rsid w:val="00CC1CBE"/>
    <w:rsid w:val="00CC57B5"/>
    <w:rsid w:val="00CD067F"/>
    <w:rsid w:val="00CE24D4"/>
    <w:rsid w:val="00CE6EF6"/>
    <w:rsid w:val="00D076D1"/>
    <w:rsid w:val="00D143B7"/>
    <w:rsid w:val="00D50208"/>
    <w:rsid w:val="00D51F44"/>
    <w:rsid w:val="00D61845"/>
    <w:rsid w:val="00D736E5"/>
    <w:rsid w:val="00D75D7B"/>
    <w:rsid w:val="00D87FBB"/>
    <w:rsid w:val="00DA1073"/>
    <w:rsid w:val="00DC288F"/>
    <w:rsid w:val="00DC681F"/>
    <w:rsid w:val="00DE422B"/>
    <w:rsid w:val="00DF0C4B"/>
    <w:rsid w:val="00DF558D"/>
    <w:rsid w:val="00E255B2"/>
    <w:rsid w:val="00E40778"/>
    <w:rsid w:val="00E415F7"/>
    <w:rsid w:val="00E50DF6"/>
    <w:rsid w:val="00E5144D"/>
    <w:rsid w:val="00E5341F"/>
    <w:rsid w:val="00E54754"/>
    <w:rsid w:val="00E57E08"/>
    <w:rsid w:val="00E615C3"/>
    <w:rsid w:val="00E63B87"/>
    <w:rsid w:val="00E64CD2"/>
    <w:rsid w:val="00E75171"/>
    <w:rsid w:val="00E97B8D"/>
    <w:rsid w:val="00EB104E"/>
    <w:rsid w:val="00EC4F2E"/>
    <w:rsid w:val="00ED739D"/>
    <w:rsid w:val="00EF07C8"/>
    <w:rsid w:val="00EF158D"/>
    <w:rsid w:val="00EF25F7"/>
    <w:rsid w:val="00EF6F1C"/>
    <w:rsid w:val="00F06375"/>
    <w:rsid w:val="00F1127B"/>
    <w:rsid w:val="00F170FB"/>
    <w:rsid w:val="00F21157"/>
    <w:rsid w:val="00F25715"/>
    <w:rsid w:val="00F31B7B"/>
    <w:rsid w:val="00F37FA9"/>
    <w:rsid w:val="00F40A0F"/>
    <w:rsid w:val="00F649C6"/>
    <w:rsid w:val="00F72483"/>
    <w:rsid w:val="00FB46CA"/>
    <w:rsid w:val="00FB6AC9"/>
    <w:rsid w:val="00FB73A1"/>
    <w:rsid w:val="00FD0FC9"/>
    <w:rsid w:val="00FD462B"/>
    <w:rsid w:val="00FD7DFA"/>
    <w:rsid w:val="00FE1401"/>
    <w:rsid w:val="00FE20C5"/>
    <w:rsid w:val="00FE649F"/>
    <w:rsid w:val="00FF2968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5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39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D39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39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D396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9D39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3B140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4B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B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5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39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D39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39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D396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9D39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3B140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4B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B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Visio_2003-2010__izimi1111.vsd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CFB37-EDDA-47D8-8111-878F3187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nuray</cp:lastModifiedBy>
  <cp:revision>6</cp:revision>
  <cp:lastPrinted>2014-05-07T08:35:00Z</cp:lastPrinted>
  <dcterms:created xsi:type="dcterms:W3CDTF">2018-09-19T11:09:00Z</dcterms:created>
  <dcterms:modified xsi:type="dcterms:W3CDTF">2020-12-01T07:18:00Z</dcterms:modified>
</cp:coreProperties>
</file>