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7E9D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0" w:name="bookmark2"/>
      <w:bookmarkStart w:id="1" w:name="_GoBack"/>
      <w:bookmarkEnd w:id="1"/>
      <w:r>
        <w:t>AMAÇ</w:t>
      </w:r>
      <w:bookmarkEnd w:id="0"/>
    </w:p>
    <w:p w14:paraId="1B9D822E" w14:textId="427B353F" w:rsidR="00252F7B" w:rsidRPr="003E70B4" w:rsidRDefault="00D42DBA" w:rsidP="006F62F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E70B4">
        <w:rPr>
          <w:rFonts w:ascii="Times New Roman" w:hAnsi="Times New Roman" w:cs="Times New Roman"/>
        </w:rPr>
        <w:t>Bu prosedürün amacı; risk ve fırsatları değerlendirmeye yönelik faaliyetlerin izlenmesi,</w:t>
      </w:r>
      <w:r w:rsidR="00490011">
        <w:rPr>
          <w:rFonts w:ascii="Times New Roman" w:hAnsi="Times New Roman" w:cs="Times New Roman"/>
        </w:rPr>
        <w:t xml:space="preserve"> </w:t>
      </w:r>
      <w:r w:rsidRPr="003E70B4">
        <w:rPr>
          <w:rFonts w:ascii="Times New Roman" w:hAnsi="Times New Roman" w:cs="Times New Roman"/>
        </w:rPr>
        <w:t>ölçülmesi ve kontrol altında tutulmasını sağlayaca</w:t>
      </w:r>
      <w:r w:rsidR="003E70B4">
        <w:rPr>
          <w:rFonts w:ascii="Times New Roman" w:hAnsi="Times New Roman" w:cs="Times New Roman"/>
        </w:rPr>
        <w:t xml:space="preserve">k usul ve esasları açıklamak ve </w:t>
      </w:r>
      <w:r w:rsidR="003E70B4" w:rsidRPr="003E70B4">
        <w:rPr>
          <w:rFonts w:ascii="Times New Roman" w:hAnsi="Times New Roman" w:cs="Times New Roman"/>
        </w:rPr>
        <w:t xml:space="preserve">Kalite Yönetim Sistemi açısından Standartta belirlenen Risk ve Fırsatlara Yönelik Faaliyetlerin, risk ve fırsatları belirleme ve ele alma faaliyetleri ile bu faaliyetlerin etkinliğinin nasıl değerlendirileceği hususlarının takip edilmesini sağlamaktadır. </w:t>
      </w:r>
    </w:p>
    <w:p w14:paraId="0497EDB0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2" w:name="bookmark3"/>
      <w:r>
        <w:t>KAPSAM</w:t>
      </w:r>
      <w:bookmarkEnd w:id="2"/>
    </w:p>
    <w:p w14:paraId="5FF7D26F" w14:textId="0BB6868F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Kalite Yönetim Sistemi kapsamında belirlenen </w:t>
      </w:r>
      <w:r w:rsidR="00BB58E8">
        <w:t>süreçler</w:t>
      </w:r>
      <w:r>
        <w:t xml:space="preserve"> için risk ve fırsatların değerlendirilmesi</w:t>
      </w:r>
      <w:r w:rsidR="00840CD0">
        <w:t xml:space="preserve"> f</w:t>
      </w:r>
      <w:r>
        <w:t>aaliyetlerini kapsar.</w:t>
      </w:r>
    </w:p>
    <w:p w14:paraId="4150D0F4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3" w:name="bookmark4"/>
      <w:r>
        <w:t>TANIMLAR</w:t>
      </w:r>
      <w:bookmarkEnd w:id="3"/>
    </w:p>
    <w:p w14:paraId="546CF84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Belirsizliğin hedefler üzerindeki etkisidir.</w:t>
      </w:r>
    </w:p>
    <w:p w14:paraId="737EB61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Fırsat: </w:t>
      </w:r>
      <w:r>
        <w:t>Riskin olumlu yanları ve sağlayabileceği kazançlardır.</w:t>
      </w:r>
    </w:p>
    <w:p w14:paraId="5F1D079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Tehdit: </w:t>
      </w:r>
      <w:r>
        <w:t>Riskin olumsuz yanları ve neden olabileceği olası kayıplardır.</w:t>
      </w:r>
    </w:p>
    <w:p w14:paraId="77BA221F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Bir olayın belli bir zaman diliminde gerçekleşmesi durumudur.</w:t>
      </w:r>
    </w:p>
    <w:p w14:paraId="3ABBE46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Bir olayın meydana gelmesi halinde, hedef ve faaliyetler üzerinde yaratacağı sonuçtur.</w:t>
      </w:r>
    </w:p>
    <w:p w14:paraId="553698B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Analizi: </w:t>
      </w:r>
      <w:r>
        <w:t>Riskin doğasını anlama ve risk seviyesini belirleme sürecidir.</w:t>
      </w:r>
    </w:p>
    <w:p w14:paraId="2A8E6985" w14:textId="2CA3A83E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Değerlendirme: </w:t>
      </w:r>
      <w:r>
        <w:t>Hedeflerin elde edilmesine yönelik</w:t>
      </w:r>
      <w:r w:rsidR="0094524F">
        <w:t xml:space="preserve"> olan risklerin tanımlanması ve </w:t>
      </w:r>
      <w:r>
        <w:t>analiz</w:t>
      </w:r>
      <w:r w:rsidR="00840CD0">
        <w:t xml:space="preserve"> </w:t>
      </w:r>
      <w:r>
        <w:t>edilmesidir.</w:t>
      </w:r>
    </w:p>
    <w:p w14:paraId="3472EB82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4" w:name="bookmark5"/>
      <w:r>
        <w:t>SORUMLULAR</w:t>
      </w:r>
      <w:bookmarkEnd w:id="4"/>
    </w:p>
    <w:p w14:paraId="37C1AC0D" w14:textId="3A89E892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Bu prosedürün yönetilmesi ve uygulanmasından </w:t>
      </w:r>
      <w:r w:rsidR="00BB58E8">
        <w:t xml:space="preserve">Kalite </w:t>
      </w:r>
      <w:r w:rsidR="008C2B4C">
        <w:t>Koordinatörlüğü</w:t>
      </w:r>
      <w:r w:rsidR="00BB58E8">
        <w:t xml:space="preserve"> ve </w:t>
      </w:r>
      <w:r w:rsidR="002B2393">
        <w:t>Batman</w:t>
      </w:r>
      <w:r w:rsidR="00BB58E8">
        <w:t xml:space="preserve"> Üniversitesi </w:t>
      </w:r>
      <w:r w:rsidR="007217E0">
        <w:t xml:space="preserve">tüm </w:t>
      </w:r>
      <w:r w:rsidR="00BB58E8">
        <w:t xml:space="preserve">birimleri </w:t>
      </w:r>
      <w:r>
        <w:t>sorumludur.</w:t>
      </w:r>
      <w:r w:rsidR="00A054D7">
        <w:t xml:space="preserve"> Risk Analizi ve değerlendirmeleri her birim/bölüm tarafından oluşturulacak olan </w:t>
      </w:r>
      <w:r w:rsidR="00A054D7" w:rsidRPr="00CB2DDB">
        <w:rPr>
          <w:highlight w:val="yellow"/>
        </w:rPr>
        <w:t>3 kişilik komisyonca</w:t>
      </w:r>
      <w:r w:rsidR="00A054D7">
        <w:t xml:space="preserve"> yapılıp süreç sahibi tarafından onaylanacaktır.</w:t>
      </w:r>
    </w:p>
    <w:p w14:paraId="351C38EC" w14:textId="61D90462" w:rsidR="0085021A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5" w:name="bookmark6"/>
      <w:r>
        <w:t>UYGULAMA</w:t>
      </w:r>
      <w:bookmarkEnd w:id="5"/>
    </w:p>
    <w:p w14:paraId="16C0823D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line="360" w:lineRule="auto"/>
        <w:jc w:val="both"/>
      </w:pPr>
      <w:bookmarkStart w:id="6" w:name="bookmark7"/>
      <w:r>
        <w:t>Risk ve Fırsatların Belirlenmesi</w:t>
      </w:r>
      <w:bookmarkEnd w:id="6"/>
    </w:p>
    <w:p w14:paraId="27341D75" w14:textId="5D8A0BFA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00"/>
      </w:pPr>
      <w:r>
        <w:t>Risklerin belirlenmesi risk kaynaklarının, olayların, bunların nedenlerinin ve potansiyel</w:t>
      </w:r>
      <w:r>
        <w:br/>
        <w:t>sonuçlarının belirlenmesini içerir. Risk ve fırsatların belirlenmesi kalite yönetim sistemi</w:t>
      </w:r>
      <w:r>
        <w:br/>
      </w:r>
      <w:r w:rsidR="005776CC">
        <w:t>süreçlerinin</w:t>
      </w:r>
      <w:r>
        <w:t xml:space="preserve"> en verimli şekilde işletilmesi, istenmeyen etkilerin önlenmesi veya azaltılması v</w:t>
      </w:r>
      <w:r w:rsidR="005776CC">
        <w:t>e</w:t>
      </w:r>
      <w:r w:rsidR="00840CD0">
        <w:t xml:space="preserve"> </w:t>
      </w:r>
      <w:r>
        <w:t>sürekli iyileştirme çalışmalarının yapılması kapsamında gereklidir.</w:t>
      </w:r>
    </w:p>
    <w:p w14:paraId="155ACAE7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7" w:name="bookmark8"/>
      <w:r>
        <w:lastRenderedPageBreak/>
        <w:t>Risk ve Fırsatların Belirlenme Şekilleri</w:t>
      </w:r>
      <w:bookmarkEnd w:id="7"/>
    </w:p>
    <w:p w14:paraId="5726B8A3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 ve fırsatlar eski verilerin analizi ve iş akış analizi ile belirlenmektedir.</w:t>
      </w:r>
    </w:p>
    <w:p w14:paraId="0386325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Eski Veriler: </w:t>
      </w:r>
      <w:r>
        <w:t>Geçmişte yaşanmış olayların sebep ve kökenlerinin araştırılmasıdır.</w:t>
      </w:r>
    </w:p>
    <w:p w14:paraId="4E44EC85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İş Akış Analizi: </w:t>
      </w:r>
      <w:r>
        <w:t>Girdiler, Görevler, sorumluluklar ve çıktıların bir süreç olarak ele alınıp</w:t>
      </w:r>
      <w:r>
        <w:br/>
        <w:t>incelenmesidir.</w:t>
      </w:r>
    </w:p>
    <w:p w14:paraId="40354AFC" w14:textId="13FA50A3" w:rsidR="00252F7B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Uyarıcı Gösterge: </w:t>
      </w:r>
      <w:r>
        <w:t>Daha önceden belirlenmiş olan ve aşılması halinde yönetimi harekete</w:t>
      </w:r>
      <w:r>
        <w:br/>
        <w:t>geçirecek olan, sayısal ya da sayısal olmayan eşik değerleridir.</w:t>
      </w:r>
    </w:p>
    <w:p w14:paraId="578A80F5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8" w:name="bookmark9"/>
      <w:r>
        <w:t>Risklerin Değerlendirilmesi</w:t>
      </w:r>
      <w:bookmarkEnd w:id="8"/>
    </w:p>
    <w:p w14:paraId="165C41DC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Riskin ve büyüklüğünün kabul edilebilir veya tolere edilebilir olup olmadığını belirlemek için</w:t>
      </w:r>
      <w:r w:rsidR="00840CD0">
        <w:t xml:space="preserve"> </w:t>
      </w:r>
      <w:r>
        <w:t>risk analizi sonuçlarının risk kriterleri ile karşılaştırılma sürecidir. Risk değerlendirmesi, riskin</w:t>
      </w:r>
      <w:r w:rsidR="00840CD0">
        <w:t xml:space="preserve"> </w:t>
      </w:r>
      <w:r>
        <w:t>ele alınması hakkındaki karara yardımcı olur.</w:t>
      </w:r>
    </w:p>
    <w:p w14:paraId="274C7E9F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meydana gelme olasılığı ve şiddet</w:t>
      </w:r>
      <w:r w:rsidR="00B52EB5">
        <w:t>/etkisi</w:t>
      </w:r>
      <w:r>
        <w:t>nin hesaplanması ile her riskin risk büyüklüğü</w:t>
      </w:r>
      <w:r w:rsidR="00840CD0">
        <w:t xml:space="preserve"> </w:t>
      </w:r>
      <w:r>
        <w:t>hesaplanır. Risk büyüklüklerine göre alınacak olan önlemler belirlenir.</w:t>
      </w:r>
    </w:p>
    <w:p w14:paraId="5EC0944E" w14:textId="6BC02673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olasılık ve etkileri 1-10 arasında sayılar ile gösterilir. “1” olasılık için en düşük risk</w:t>
      </w:r>
      <w:r w:rsidR="00840CD0">
        <w:t xml:space="preserve"> </w:t>
      </w:r>
      <w:r>
        <w:t>gerçekleşme oranını ifade ederken, “10” en yüksek olasılığın alacağı değeri ifade eder. Şiddet</w:t>
      </w:r>
      <w:r w:rsidR="00B52EB5">
        <w:t>/Etki</w:t>
      </w:r>
      <w:r w:rsidR="00840CD0">
        <w:t xml:space="preserve"> </w:t>
      </w:r>
      <w:r>
        <w:t>açısından ise “1” rakamı riskin gerçekleşmesinin doğuracağı sonucun çok az önemi</w:t>
      </w:r>
      <w:r w:rsidR="00840CD0">
        <w:t xml:space="preserve"> </w:t>
      </w:r>
      <w:r>
        <w:t>olduğunu,”10” rakamı bu son</w:t>
      </w:r>
      <w:r w:rsidR="0094524F">
        <w:t>ucun kritik olduğunu ifade eder.</w:t>
      </w:r>
    </w:p>
    <w:tbl>
      <w:tblPr>
        <w:tblpPr w:leftFromText="141" w:rightFromText="141" w:vertAnchor="text" w:horzAnchor="margin" w:tblpXSpec="center" w:tblpY="176"/>
        <w:tblOverlap w:val="never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6598"/>
      </w:tblGrid>
      <w:tr w:rsidR="00840CD0" w14:paraId="31944E39" w14:textId="77777777" w:rsidTr="0094524F">
        <w:trPr>
          <w:trHeight w:hRule="exact" w:val="577"/>
        </w:trPr>
        <w:tc>
          <w:tcPr>
            <w:tcW w:w="2575" w:type="dxa"/>
            <w:shd w:val="clear" w:color="auto" w:fill="FFFFFF"/>
            <w:vAlign w:val="center"/>
          </w:tcPr>
          <w:p w14:paraId="1D066D1F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  <w:rPr>
                <w:rStyle w:val="Gvdemetni2Kaln0"/>
              </w:rPr>
            </w:pPr>
            <w:r>
              <w:rPr>
                <w:rStyle w:val="Gvdemetni2Kaln0"/>
              </w:rPr>
              <w:t>OLASLIK TANIMI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63AAFC0C" w14:textId="48E99D66" w:rsidR="00840CD0" w:rsidRDefault="00840CD0" w:rsidP="006F62FD">
            <w:pPr>
              <w:pStyle w:val="Gvdemetni20"/>
              <w:shd w:val="clear" w:color="auto" w:fill="auto"/>
              <w:tabs>
                <w:tab w:val="left" w:pos="341"/>
              </w:tabs>
              <w:spacing w:before="0" w:after="0" w:line="360" w:lineRule="auto"/>
              <w:jc w:val="center"/>
              <w:rPr>
                <w:rStyle w:val="Gvdemetni21"/>
              </w:rPr>
            </w:pPr>
            <w:r>
              <w:rPr>
                <w:rStyle w:val="Gvdemetni2Kaln0"/>
              </w:rPr>
              <w:t>AÇIKLAMA</w:t>
            </w:r>
          </w:p>
        </w:tc>
      </w:tr>
      <w:tr w:rsidR="00840CD0" w14:paraId="115E7358" w14:textId="77777777" w:rsidTr="0094524F">
        <w:trPr>
          <w:trHeight w:hRule="exact" w:val="569"/>
        </w:trPr>
        <w:tc>
          <w:tcPr>
            <w:tcW w:w="2575" w:type="dxa"/>
            <w:shd w:val="clear" w:color="auto" w:fill="FFFFFF"/>
            <w:vAlign w:val="center"/>
          </w:tcPr>
          <w:p w14:paraId="2189AFD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2AD03A6F" w14:textId="77777777" w:rsidR="00840CD0" w:rsidRPr="00840CD0" w:rsidRDefault="00840CD0" w:rsidP="006F62FD">
            <w:pPr>
              <w:pStyle w:val="Gvdemetni20"/>
              <w:shd w:val="clear" w:color="auto" w:fill="auto"/>
              <w:spacing w:before="0" w:after="0" w:line="240" w:lineRule="auto"/>
              <w:jc w:val="left"/>
              <w:rPr>
                <w:rFonts w:ascii="MS Mincho" w:eastAsia="MS Mincho" w:hAnsi="MS Mincho" w:cs="MS Mincho"/>
              </w:rPr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 birçok kez gerçekleşti ve şu anda da gerçekleşiyor.</w:t>
            </w:r>
          </w:p>
        </w:tc>
      </w:tr>
      <w:tr w:rsidR="00840CD0" w14:paraId="5C202324" w14:textId="77777777" w:rsidTr="006F62FD">
        <w:trPr>
          <w:trHeight w:hRule="exact" w:val="1134"/>
        </w:trPr>
        <w:tc>
          <w:tcPr>
            <w:tcW w:w="2575" w:type="dxa"/>
            <w:shd w:val="clear" w:color="auto" w:fill="FFFFFF"/>
            <w:vAlign w:val="center"/>
          </w:tcPr>
          <w:p w14:paraId="6F7BA13A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4E518FD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birçok kez gerçekleşti</w:t>
            </w:r>
          </w:p>
          <w:p w14:paraId="13FCA9E8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gerçekleşti</w:t>
            </w:r>
          </w:p>
          <w:p w14:paraId="5F0EF6D5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son derece uygun</w:t>
            </w:r>
          </w:p>
        </w:tc>
      </w:tr>
      <w:tr w:rsidR="00840CD0" w14:paraId="20A36CF2" w14:textId="77777777" w:rsidTr="006F62FD">
        <w:trPr>
          <w:trHeight w:hRule="exact" w:val="853"/>
        </w:trPr>
        <w:tc>
          <w:tcPr>
            <w:tcW w:w="2575" w:type="dxa"/>
            <w:shd w:val="clear" w:color="auto" w:fill="FFFFFF"/>
            <w:vAlign w:val="center"/>
          </w:tcPr>
          <w:p w14:paraId="57F10D2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559221F3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ancak belirli durumlarda gerçekleşebilir</w:t>
            </w:r>
          </w:p>
          <w:p w14:paraId="622D5B7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belirli durumlarda gerçekleşti</w:t>
            </w:r>
          </w:p>
          <w:p w14:paraId="011BC00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olabilir</w:t>
            </w:r>
          </w:p>
        </w:tc>
      </w:tr>
      <w:tr w:rsidR="00840CD0" w14:paraId="62B1D7F1" w14:textId="77777777" w:rsidTr="006F62FD">
        <w:trPr>
          <w:trHeight w:hRule="exact" w:val="1121"/>
        </w:trPr>
        <w:tc>
          <w:tcPr>
            <w:tcW w:w="2575" w:type="dxa"/>
            <w:shd w:val="clear" w:color="auto" w:fill="FFFFFF"/>
            <w:vAlign w:val="center"/>
          </w:tcPr>
          <w:p w14:paraId="38973890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1C61B795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ancak özel koşullar altında söz konusu olabilir</w:t>
            </w:r>
          </w:p>
          <w:p w14:paraId="6BCC8107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ancak özel durumlarda gerçekleşti</w:t>
            </w:r>
          </w:p>
          <w:p w14:paraId="1F7EE8B3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değil</w:t>
            </w:r>
          </w:p>
        </w:tc>
      </w:tr>
      <w:tr w:rsidR="00840CD0" w14:paraId="0CDD85AC" w14:textId="77777777" w:rsidTr="002F5E1A">
        <w:trPr>
          <w:trHeight w:hRule="exact" w:val="604"/>
        </w:trPr>
        <w:tc>
          <w:tcPr>
            <w:tcW w:w="2575" w:type="dxa"/>
            <w:shd w:val="clear" w:color="auto" w:fill="FFFFFF"/>
            <w:vAlign w:val="center"/>
          </w:tcPr>
          <w:p w14:paraId="5BB62C3D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6CC0B61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durumunun gerçekleşmesi söz konusu değil, istisnai durum</w:t>
            </w:r>
          </w:p>
        </w:tc>
      </w:tr>
    </w:tbl>
    <w:p w14:paraId="295DCDA9" w14:textId="72AA59D4" w:rsidR="00D22B49" w:rsidRPr="00DB4B47" w:rsidRDefault="00DB4B47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B47">
        <w:rPr>
          <w:rFonts w:ascii="Times New Roman" w:hAnsi="Times New Roman" w:cs="Times New Roman"/>
          <w:b/>
          <w:bCs/>
          <w:sz w:val="22"/>
          <w:szCs w:val="22"/>
        </w:rPr>
        <w:t>Tablo 1: Olasılık Tanımları</w:t>
      </w:r>
      <w:r w:rsidRPr="00DB4B47">
        <w:rPr>
          <w:rFonts w:ascii="Times New Roman" w:hAnsi="Times New Roman" w:cs="Times New Roman"/>
          <w:b/>
          <w:bCs/>
          <w:noProof/>
          <w:sz w:val="22"/>
          <w:szCs w:val="22"/>
          <w:lang w:bidi="ar-SA"/>
        </w:rPr>
        <w:t xml:space="preserve"> </w:t>
      </w:r>
    </w:p>
    <w:p w14:paraId="0E889CEB" w14:textId="65C33B56" w:rsidR="00252F7B" w:rsidRDefault="00252F7B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0DC839F2" w14:textId="5563BB60" w:rsidR="00F4477F" w:rsidRDefault="00F4477F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7C934B9F" w14:textId="446E3B05" w:rsidR="00D22B49" w:rsidRPr="000E5155" w:rsidRDefault="006F62FD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0E5155" w:rsidRPr="000E5155">
        <w:rPr>
          <w:rFonts w:ascii="Times New Roman" w:hAnsi="Times New Roman" w:cs="Times New Roman"/>
          <w:b/>
          <w:bCs/>
          <w:sz w:val="22"/>
          <w:szCs w:val="22"/>
        </w:rPr>
        <w:t>ablo 2: Şiddet/Etki Tanımları</w:t>
      </w:r>
    </w:p>
    <w:tbl>
      <w:tblPr>
        <w:tblpPr w:leftFromText="141" w:rightFromText="141" w:vertAnchor="text" w:horzAnchor="margin" w:tblpX="-132" w:tblpY="-134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946"/>
      </w:tblGrid>
      <w:tr w:rsidR="0085021A" w14:paraId="23098CB9" w14:textId="77777777" w:rsidTr="006F62FD">
        <w:trPr>
          <w:trHeight w:hRule="exact" w:val="8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910C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>ŞİDDET</w:t>
            </w:r>
            <w:r w:rsidR="00B52EB5">
              <w:rPr>
                <w:rStyle w:val="Gvdemetni2Kaln0"/>
              </w:rPr>
              <w:t xml:space="preserve">/ETKİ </w:t>
            </w:r>
            <w:r>
              <w:rPr>
                <w:rStyle w:val="Gvdemetni2Kaln0"/>
              </w:rPr>
              <w:t>TANIMI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034D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>AÇIKLAMA</w:t>
            </w:r>
          </w:p>
        </w:tc>
      </w:tr>
      <w:tr w:rsidR="0085021A" w14:paraId="6BB5B199" w14:textId="77777777" w:rsidTr="0094524F">
        <w:trPr>
          <w:trHeight w:hRule="exact" w:val="18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8507A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KRİTİK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25CB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Çalışanın ölümü</w:t>
            </w:r>
          </w:p>
          <w:p w14:paraId="578AD5E7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Çok ciddi finansal kayıp</w:t>
            </w:r>
          </w:p>
          <w:p w14:paraId="043CF42F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itibar kaybı nedeniyle uzun süreli düşüşler</w:t>
            </w:r>
          </w:p>
          <w:p w14:paraId="31706CD1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uzun süre kaybetmek, doluluk oranlarında</w:t>
            </w:r>
            <w:r>
              <w:rPr>
                <w:rStyle w:val="Gvdemetni21"/>
              </w:rPr>
              <w:br/>
              <w:t>ciddi düşüş</w:t>
            </w:r>
          </w:p>
          <w:p w14:paraId="410B5B2D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uzun süreli yer almak</w:t>
            </w:r>
          </w:p>
        </w:tc>
      </w:tr>
      <w:tr w:rsidR="0085021A" w14:paraId="1057DB90" w14:textId="77777777" w:rsidTr="0094524F">
        <w:trPr>
          <w:trHeight w:hRule="exact" w:val="15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B3C22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C07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ciddi yaralanmaları, uzuv kaybı</w:t>
            </w:r>
          </w:p>
          <w:p w14:paraId="32596B98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finansal kayıp</w:t>
            </w:r>
          </w:p>
          <w:p w14:paraId="2B81771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orta vadeli düşüşler</w:t>
            </w:r>
          </w:p>
          <w:p w14:paraId="20C1A0A4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kaybetmek, doluluk oranlarında ciddi düşüş</w:t>
            </w:r>
          </w:p>
          <w:p w14:paraId="3F3C88C6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kısa süreli yer almak</w:t>
            </w:r>
          </w:p>
        </w:tc>
      </w:tr>
      <w:tr w:rsidR="0085021A" w14:paraId="03255568" w14:textId="77777777" w:rsidTr="0094524F">
        <w:trPr>
          <w:trHeight w:hRule="exact" w:val="15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EEFA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2A1F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tedavi görmesini gerektirecek yaralanmalar</w:t>
            </w:r>
          </w:p>
          <w:p w14:paraId="6D95A72C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</w:t>
            </w:r>
            <w:r w:rsidR="006F0AF7">
              <w:rPr>
                <w:rStyle w:val="Gvdemetni21"/>
              </w:rPr>
              <w:t>m</w:t>
            </w:r>
            <w:r>
              <w:rPr>
                <w:rStyle w:val="Gvdemetni21"/>
              </w:rPr>
              <w:t>li finans kayıpları</w:t>
            </w:r>
          </w:p>
          <w:p w14:paraId="213B40D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kısa vadeli düşüşler</w:t>
            </w:r>
          </w:p>
          <w:p w14:paraId="79343E1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ufak bir düşüş</w:t>
            </w:r>
          </w:p>
          <w:p w14:paraId="643FEAF3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Ulusal medyada kısa vadeli olumsuz olarak yer almak</w:t>
            </w:r>
          </w:p>
        </w:tc>
      </w:tr>
      <w:tr w:rsidR="0085021A" w14:paraId="3D024276" w14:textId="77777777" w:rsidTr="0094524F">
        <w:trPr>
          <w:trHeight w:hRule="exact" w:val="169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2430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2221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İlkyardım gerektirebilecek küçük yansımalar</w:t>
            </w:r>
          </w:p>
          <w:p w14:paraId="58390A8D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Önemli olmayan finansal kayıplar</w:t>
            </w:r>
          </w:p>
          <w:p w14:paraId="1F56B6C4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kaybına yol açmayacak durum</w:t>
            </w:r>
          </w:p>
          <w:p w14:paraId="5CAE342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düşük oranda düşüş</w:t>
            </w:r>
          </w:p>
          <w:p w14:paraId="22128EF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Yerel medyaya olumsuz yansıma</w:t>
            </w:r>
          </w:p>
        </w:tc>
      </w:tr>
      <w:tr w:rsidR="0085021A" w14:paraId="0FD97C8F" w14:textId="77777777" w:rsidTr="006F62FD">
        <w:trPr>
          <w:trHeight w:hRule="exact" w:val="15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8854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C1BA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Çalışana zarar gelmesi söz konusu değil</w:t>
            </w:r>
          </w:p>
          <w:p w14:paraId="5D02D3C9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Finansal kayıplar var</w:t>
            </w:r>
          </w:p>
          <w:p w14:paraId="5083B058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 yaratmayacak durum</w:t>
            </w:r>
          </w:p>
          <w:p w14:paraId="6710F024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Medyaya yansımamak</w:t>
            </w:r>
          </w:p>
        </w:tc>
      </w:tr>
    </w:tbl>
    <w:p w14:paraId="38A80A3E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8AFA663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514639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FFFA43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DAFB64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2EB1D99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9CA9AFA" w14:textId="258EF530" w:rsidR="00924D55" w:rsidRPr="009F7012" w:rsidRDefault="00924D55" w:rsidP="006F62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0016" behindDoc="1" locked="0" layoutInCell="1" allowOverlap="1" wp14:anchorId="5CA8236A" wp14:editId="396374FF">
                <wp:simplePos x="0" y="0"/>
                <wp:positionH relativeFrom="margin">
                  <wp:posOffset>4549140</wp:posOffset>
                </wp:positionH>
                <wp:positionV relativeFrom="paragraph">
                  <wp:posOffset>-1185545</wp:posOffset>
                </wp:positionV>
                <wp:extent cx="1905000" cy="22225"/>
                <wp:effectExtent l="0" t="0" r="3810" b="381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22DFA" w14:textId="77777777" w:rsidR="00924D55" w:rsidRDefault="00924D55" w:rsidP="00924D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823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8.2pt;margin-top:-93.35pt;width:150pt;height:1.75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" filled="f" stroked="f">
                <v:textbox style="mso-fit-shape-to-text:t" inset="0,0,0,0">
                  <w:txbxContent>
                    <w:p w14:paraId="35A22DFA" w14:textId="77777777" w:rsidR="00924D55" w:rsidRDefault="00924D55" w:rsidP="00924D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59AD">
        <w:rPr>
          <w:rFonts w:ascii="Times New Roman" w:eastAsia="Times New Roman" w:hAnsi="Times New Roman" w:cs="Times New Roman"/>
        </w:rPr>
        <w:t xml:space="preserve">Risk analizi </w:t>
      </w:r>
      <w:r>
        <w:rPr>
          <w:rFonts w:ascii="Times New Roman" w:eastAsia="Times New Roman" w:hAnsi="Times New Roman" w:cs="Times New Roman"/>
        </w:rPr>
        <w:t>‘</w:t>
      </w:r>
      <w:r w:rsidRPr="00740AA1">
        <w:rPr>
          <w:rFonts w:ascii="Times New Roman" w:eastAsia="Times New Roman" w:hAnsi="Times New Roman" w:cs="Times New Roman"/>
        </w:rPr>
        <w:t>FR-163-Risk ve Fırsat İzleme Tablosu Formu</w:t>
      </w:r>
      <w:r>
        <w:rPr>
          <w:rFonts w:ascii="Times New Roman" w:eastAsia="Times New Roman" w:hAnsi="Times New Roman" w:cs="Times New Roman"/>
        </w:rPr>
        <w:t>’</w:t>
      </w:r>
      <w:r w:rsidRPr="003059AD">
        <w:rPr>
          <w:rFonts w:ascii="Times New Roman" w:eastAsia="Times New Roman" w:hAnsi="Times New Roman" w:cs="Times New Roman"/>
        </w:rPr>
        <w:t xml:space="preserve"> baz alınarak yapılır. Riskler hesaplanırken</w:t>
      </w:r>
      <w:r>
        <w:rPr>
          <w:rFonts w:ascii="Times New Roman" w:eastAsia="Times New Roman" w:hAnsi="Times New Roman" w:cs="Times New Roman"/>
        </w:rPr>
        <w:t xml:space="preserve"> </w:t>
      </w:r>
      <w:r w:rsidRPr="003059AD">
        <w:rPr>
          <w:rFonts w:ascii="Times New Roman" w:eastAsia="Times New Roman" w:hAnsi="Times New Roman" w:cs="Times New Roman"/>
        </w:rPr>
        <w:t xml:space="preserve">aşağıdaki formülden yararlanılır. </w:t>
      </w:r>
    </w:p>
    <w:p w14:paraId="443032B0" w14:textId="51BDA7DD" w:rsidR="00924D55" w:rsidRDefault="00924D55" w:rsidP="006F62FD">
      <w:pPr>
        <w:spacing w:line="360" w:lineRule="auto"/>
        <w:jc w:val="center"/>
        <w:rPr>
          <w:rStyle w:val="Gvdemetni2Kaln"/>
          <w:rFonts w:eastAsia="Arial Unicode MS"/>
        </w:rPr>
      </w:pPr>
      <w:r>
        <w:rPr>
          <w:rStyle w:val="Gvdemetni2Kaln"/>
          <w:rFonts w:eastAsia="Arial Unicode MS"/>
        </w:rPr>
        <w:t>RİSK= ŞİDDET X OLASILIK</w:t>
      </w:r>
    </w:p>
    <w:p w14:paraId="73DDB46E" w14:textId="4BF0C5BB" w:rsidR="00716457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583C2603" wp14:editId="66D58AE2">
            <wp:simplePos x="0" y="0"/>
            <wp:positionH relativeFrom="column">
              <wp:posOffset>1116965</wp:posOffset>
            </wp:positionH>
            <wp:positionV relativeFrom="paragraph">
              <wp:posOffset>146685</wp:posOffset>
            </wp:positionV>
            <wp:extent cx="3712845" cy="2048510"/>
            <wp:effectExtent l="0" t="0" r="1905" b="8890"/>
            <wp:wrapTight wrapText="bothSides">
              <wp:wrapPolygon edited="0">
                <wp:start x="1552" y="0"/>
                <wp:lineTo x="1552" y="3214"/>
                <wp:lineTo x="332" y="5223"/>
                <wp:lineTo x="111" y="5825"/>
                <wp:lineTo x="0" y="11048"/>
                <wp:lineTo x="0" y="11650"/>
                <wp:lineTo x="222" y="12856"/>
                <wp:lineTo x="1441" y="16069"/>
                <wp:lineTo x="0" y="19283"/>
                <wp:lineTo x="0" y="21493"/>
                <wp:lineTo x="3768" y="21493"/>
                <wp:lineTo x="16181" y="20890"/>
                <wp:lineTo x="15959" y="19283"/>
                <wp:lineTo x="19949" y="19283"/>
                <wp:lineTo x="21500" y="18480"/>
                <wp:lineTo x="21500" y="0"/>
                <wp:lineTo x="1552" y="0"/>
              </wp:wrapPolygon>
            </wp:wrapTight>
            <wp:docPr id="13" name="Resim 10">
              <a:extLst xmlns:a="http://schemas.openxmlformats.org/drawingml/2006/main">
                <a:ext uri="{FF2B5EF4-FFF2-40B4-BE49-F238E27FC236}">
                  <a16:creationId xmlns:a16="http://schemas.microsoft.com/office/drawing/2014/main" id="{090467B0-D68D-4F38-97D3-A4B8A496C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extLst>
                        <a:ext uri="{FF2B5EF4-FFF2-40B4-BE49-F238E27FC236}">
                          <a16:creationId xmlns:a16="http://schemas.microsoft.com/office/drawing/2014/main" id="{090467B0-D68D-4F38-97D3-A4B8A496C243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2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C045" w14:textId="2774EE90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57CE2D" w14:textId="7F4CBF25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4DD911" w14:textId="4B8D26EF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11B7CCA" w14:textId="168EFC5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6728C58" w14:textId="737EAD9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5DD5B8EE" w14:textId="6B24607E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293DF61E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49179399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74A9D40D" w14:textId="67ADA75E" w:rsidR="00BA3451" w:rsidRDefault="009F7012" w:rsidP="006F62FD">
      <w:pPr>
        <w:spacing w:line="360" w:lineRule="auto"/>
        <w:jc w:val="both"/>
        <w:rPr>
          <w:rStyle w:val="Gvdemetni2Kaln0"/>
          <w:rFonts w:eastAsia="Arial Unicode MS"/>
          <w:b w:val="0"/>
          <w:bCs w:val="0"/>
        </w:rPr>
      </w:pPr>
      <w:r>
        <w:rPr>
          <w:rStyle w:val="Gvdemetni2Kaln"/>
          <w:rFonts w:eastAsia="Arial Unicode MS"/>
        </w:rPr>
        <w:t>K</w:t>
      </w:r>
      <w:r w:rsidR="00D42DBA">
        <w:rPr>
          <w:rStyle w:val="Gvdemetni2Kaln"/>
          <w:rFonts w:eastAsia="Arial Unicode MS"/>
        </w:rPr>
        <w:t xml:space="preserve">ırmızı Bölge: </w:t>
      </w:r>
      <w:r w:rsidR="00D42DBA" w:rsidRPr="00F4477F">
        <w:rPr>
          <w:rStyle w:val="Gvdemetni2Kaln0"/>
          <w:rFonts w:eastAsia="Arial Unicode MS"/>
          <w:b w:val="0"/>
          <w:bCs w:val="0"/>
        </w:rPr>
        <w:t xml:space="preserve">Çok Yüksek Risk 65-100 (dâhil) arasını, </w:t>
      </w:r>
    </w:p>
    <w:p w14:paraId="258C2782" w14:textId="680449FB" w:rsidR="00D22B49" w:rsidRDefault="00BA3451" w:rsidP="006F62FD">
      <w:pPr>
        <w:spacing w:line="360" w:lineRule="auto"/>
        <w:jc w:val="both"/>
      </w:pPr>
      <w:r w:rsidRPr="00BA3451">
        <w:rPr>
          <w:rStyle w:val="Gvdemetni2Kaln0"/>
          <w:rFonts w:eastAsia="Arial Unicode MS"/>
        </w:rPr>
        <w:t>Turuncu Bölge</w:t>
      </w:r>
      <w:r>
        <w:rPr>
          <w:rStyle w:val="Gvdemetni2Kaln0"/>
          <w:rFonts w:eastAsia="Arial Unicode MS"/>
          <w:b w:val="0"/>
          <w:bCs w:val="0"/>
        </w:rPr>
        <w:t xml:space="preserve">: </w:t>
      </w:r>
      <w:r w:rsidR="00D42DBA" w:rsidRPr="00F4477F">
        <w:rPr>
          <w:rStyle w:val="Gvdemetni2Kaln0"/>
          <w:rFonts w:eastAsia="Arial Unicode MS"/>
          <w:b w:val="0"/>
          <w:bCs w:val="0"/>
        </w:rPr>
        <w:t>Yüksek Risk 45-64 (dâhil) arasını kapsar.</w:t>
      </w:r>
      <w:r w:rsidR="001A4F2E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Belirlenen risk kabul edilebilir bir seviyeye düşürülünceye kadar iyileştirme çalışmaları</w:t>
      </w:r>
      <w:r w:rsidR="003059AD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başlatılmalıdır, devam eden bir süreç var ise durdurularak yeni bir strateji belirlenmelidir.</w:t>
      </w:r>
    </w:p>
    <w:p w14:paraId="0CD46A7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Sarı Bölge: </w:t>
      </w:r>
      <w:r>
        <w:t>Orta Risk 20-44 (dâhil) arasını ifade eder. Belirlenen riskleri düşürmek için faaliyetler</w:t>
      </w:r>
      <w:r w:rsidR="003059AD">
        <w:t xml:space="preserve"> </w:t>
      </w:r>
      <w:r>
        <w:t>başlatılmalıdır.</w:t>
      </w:r>
    </w:p>
    <w:p w14:paraId="36BAB87F" w14:textId="30A8359C" w:rsidR="0094524F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  <w:b w:val="0"/>
        </w:rPr>
      </w:pPr>
      <w:r w:rsidRPr="00191A1A">
        <w:rPr>
          <w:rStyle w:val="Gvdemetni2Kaln0"/>
        </w:rPr>
        <w:t>Yeşil Bölge:</w:t>
      </w:r>
      <w:r w:rsidRPr="00191A1A">
        <w:rPr>
          <w:rStyle w:val="Gvdemetni2Kaln0"/>
          <w:b w:val="0"/>
        </w:rPr>
        <w:t xml:space="preserve"> Düşük Risk 6-19 (dâhil) arasını, Çok Düşük Risk 1-5 (dâhil) arasını ifade eder. </w:t>
      </w:r>
      <w:r w:rsidR="00191A1A" w:rsidRPr="00191A1A">
        <w:rPr>
          <w:rStyle w:val="Gvdemetni2Kaln0"/>
          <w:b w:val="0"/>
        </w:rPr>
        <w:t>M</w:t>
      </w:r>
      <w:r w:rsidRPr="00191A1A">
        <w:rPr>
          <w:rStyle w:val="Gvdemetni2Kaln0"/>
          <w:b w:val="0"/>
        </w:rPr>
        <w:t>evcut</w:t>
      </w:r>
      <w:r w:rsidR="003059AD" w:rsidRPr="00191A1A">
        <w:rPr>
          <w:rStyle w:val="Gvdemetni2Kaln0"/>
          <w:b w:val="0"/>
        </w:rPr>
        <w:t xml:space="preserve"> </w:t>
      </w:r>
      <w:r w:rsidRPr="00191A1A">
        <w:rPr>
          <w:rStyle w:val="Gvdemetni2Kaln0"/>
          <w:b w:val="0"/>
        </w:rPr>
        <w:t>önlemler ile faaliyet sürdürülmelidir.</w:t>
      </w:r>
    </w:p>
    <w:p w14:paraId="3E89C989" w14:textId="401D681B" w:rsidR="003059A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73076AF2" wp14:editId="432FA3C2">
            <wp:simplePos x="0" y="0"/>
            <wp:positionH relativeFrom="column">
              <wp:posOffset>1303020</wp:posOffset>
            </wp:positionH>
            <wp:positionV relativeFrom="paragraph">
              <wp:posOffset>238760</wp:posOffset>
            </wp:positionV>
            <wp:extent cx="2795270" cy="1411605"/>
            <wp:effectExtent l="0" t="0" r="5080" b="0"/>
            <wp:wrapTight wrapText="bothSides">
              <wp:wrapPolygon edited="0">
                <wp:start x="0" y="0"/>
                <wp:lineTo x="0" y="21279"/>
                <wp:lineTo x="21492" y="21279"/>
                <wp:lineTo x="21492" y="0"/>
                <wp:lineTo x="0" y="0"/>
              </wp:wrapPolygon>
            </wp:wrapTight>
            <wp:docPr id="1453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199DE461-4AED-4101-B4DF-C3A1ADDA9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Resim 8">
                      <a:extLst>
                        <a:ext uri="{FF2B5EF4-FFF2-40B4-BE49-F238E27FC236}">
                          <a16:creationId xmlns:a16="http://schemas.microsoft.com/office/drawing/2014/main" id="{199DE461-4AED-4101-B4DF-C3A1ADDA991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1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1EFD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C5F918C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95F8632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20ABF9F1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00A05ADC" w14:textId="77777777" w:rsidR="006F62FD" w:rsidRPr="0094524F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4A542294" w14:textId="22DA5FA3" w:rsidR="000B4F8B" w:rsidRDefault="000E7D3C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9" w:name="bookmark15"/>
      <w:r>
        <w:lastRenderedPageBreak/>
        <w:t>Risklerin Önceliklendirilmesi</w:t>
      </w:r>
    </w:p>
    <w:p w14:paraId="03C26905" w14:textId="77777777" w:rsidR="00490011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AF0577">
        <w:rPr>
          <w:b w:val="0"/>
          <w:bCs w:val="0"/>
        </w:rPr>
        <w:t>Her birim elde ettiği puanı en yüksek puandan başlayarak önem derecesine göre sıralar. Bu doğrultuda bir sıralama yapılır.</w:t>
      </w:r>
      <w:bookmarkEnd w:id="9"/>
    </w:p>
    <w:p w14:paraId="4AC163F2" w14:textId="428397E7" w:rsidR="00D22B49" w:rsidRPr="002D34AE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D42DBA" w:rsidRPr="002D34AE">
        <w:rPr>
          <w:b w:val="0"/>
          <w:bCs w:val="0"/>
        </w:rPr>
        <w:t>Riskler her zaman puana göre değerlendirilmeyebilir. Üst yönetim puanı düşük olsa bile, olasılığı çok</w:t>
      </w:r>
      <w:r w:rsidR="003059AD" w:rsidRPr="002D34AE">
        <w:rPr>
          <w:b w:val="0"/>
          <w:bCs w:val="0"/>
        </w:rPr>
        <w:t xml:space="preserve"> </w:t>
      </w:r>
      <w:r w:rsidR="00D42DBA" w:rsidRPr="002D34AE">
        <w:rPr>
          <w:b w:val="0"/>
          <w:bCs w:val="0"/>
        </w:rPr>
        <w:t>düşük ancak hedefleri doğrudan etkileyebilecek risklere öncelik verebilir.</w:t>
      </w:r>
    </w:p>
    <w:p w14:paraId="78242157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Risklerin öncelik sıraları belirlendikten risklere verilecek cevaplar kararlaştırılır ve </w:t>
      </w:r>
      <w:r w:rsidR="00740AA1" w:rsidRPr="00740AA1">
        <w:t>FR-163-Risk ve Fırsat İzleme Tablosu Formu</w:t>
      </w:r>
      <w:r>
        <w:t>nda yer alan alanlar doldurulur.</w:t>
      </w:r>
    </w:p>
    <w:p w14:paraId="1D1FEC10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10" w:name="bookmark16"/>
      <w:r>
        <w:t>Risk ve Fırsat Analizinin Yapılması</w:t>
      </w:r>
      <w:bookmarkEnd w:id="10"/>
    </w:p>
    <w:p w14:paraId="6CAFD33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t>Tabloda yer alan alanların açıklaması aşağıda belirtildiği gibidir.</w:t>
      </w:r>
    </w:p>
    <w:p w14:paraId="3045CD2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Faaliyet: </w:t>
      </w:r>
      <w:r w:rsidR="00740AA1">
        <w:t>Süreç kartında</w:t>
      </w:r>
      <w:r>
        <w:t xml:space="preserve"> yer alan faaliyetler yazılacaktır.</w:t>
      </w:r>
    </w:p>
    <w:p w14:paraId="00DD1131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Faaliyetin riskleri yazılacaktır. Her faaliyetin mutlaka bir riski vardır. Faaliyetlerin birden fazla</w:t>
      </w:r>
      <w:r w:rsidR="003059AD">
        <w:t xml:space="preserve"> </w:t>
      </w:r>
      <w:r>
        <w:t>riski olabileceği gibi, tek bir riske de sahip olabilir.</w:t>
      </w:r>
    </w:p>
    <w:p w14:paraId="3BE9301C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Riskin meydana gelme olasılığıdır. 1-10 (dâhil) arası değer alır.</w:t>
      </w:r>
    </w:p>
    <w:p w14:paraId="7BE77B8F" w14:textId="77777777" w:rsidR="003059AD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Riskin meydana gelmesi halinde faaliyetlerde yaratacağı etkidir. 1-10 (dâhil) arası değer alır.</w:t>
      </w:r>
    </w:p>
    <w:p w14:paraId="7A7C1D0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Büyüklüğü: </w:t>
      </w:r>
      <w:r>
        <w:t>Olasılık X Şiddet</w:t>
      </w:r>
      <w:r w:rsidR="00B52EB5">
        <w:t>/Etki</w:t>
      </w:r>
    </w:p>
    <w:p w14:paraId="0671732D" w14:textId="77777777" w:rsidR="0085021A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Alınacak Önlemler: </w:t>
      </w:r>
      <w:r w:rsidRPr="0085021A">
        <w:rPr>
          <w:rStyle w:val="Gvdemetni2Kaln0"/>
          <w:b w:val="0"/>
        </w:rPr>
        <w:t>Riski önlemek ve/veya ortadan kaldırmak için alınacak olan önlemler, aksiyon</w:t>
      </w:r>
      <w:r w:rsidR="0085021A" w:rsidRPr="0085021A">
        <w:rPr>
          <w:rStyle w:val="Gvdemetni2Kaln0"/>
          <w:b w:val="0"/>
        </w:rPr>
        <w:t xml:space="preserve"> </w:t>
      </w:r>
      <w:r w:rsidRPr="0085021A">
        <w:rPr>
          <w:rStyle w:val="Gvdemetni2Kaln0"/>
          <w:b w:val="0"/>
        </w:rPr>
        <w:t>planlarıdır.</w:t>
      </w:r>
    </w:p>
    <w:p w14:paraId="495C47A9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Süre: </w:t>
      </w:r>
      <w:r w:rsidRPr="00FB43AB">
        <w:rPr>
          <w:rStyle w:val="Gvdemetni2Kaln0"/>
          <w:b w:val="0"/>
        </w:rPr>
        <w:t>Belirlenen aksiyon planının ne kadar süre uygulanacağıdır.</w:t>
      </w:r>
    </w:p>
    <w:p w14:paraId="7435EEB7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Sorumlu: </w:t>
      </w:r>
      <w:r w:rsidRPr="0085021A">
        <w:rPr>
          <w:rStyle w:val="Gvdemetni2Kaln0"/>
          <w:b w:val="0"/>
        </w:rPr>
        <w:t>Belirlenen aksiyon planının yürütülmesinden sorumlu kişidir.</w:t>
      </w:r>
    </w:p>
    <w:p w14:paraId="5413D7E4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Etkinlik Değerlendirme: </w:t>
      </w:r>
      <w:r w:rsidRPr="0085021A">
        <w:rPr>
          <w:rStyle w:val="Gvdemetni2Kaln0"/>
          <w:b w:val="0"/>
        </w:rPr>
        <w:t>Risk değerlendirme periyodu belirtilecektir.</w:t>
      </w:r>
    </w:p>
    <w:p w14:paraId="184E37F2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11" w:name="bookmark17"/>
      <w:r>
        <w:t>Risklerin Gözden Geçirilmesi ve Raporlanması</w:t>
      </w:r>
      <w:bookmarkEnd w:id="11"/>
    </w:p>
    <w:p w14:paraId="10BC0432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Standart şartlar baz alındığında risk </w:t>
      </w:r>
      <w:r w:rsidR="00686F9F">
        <w:t>analiz ve değerlendirmesi yılda en az bir defa</w:t>
      </w:r>
      <w:r>
        <w:t xml:space="preserve"> olarak yapılır. </w:t>
      </w:r>
      <w:r w:rsidR="001A4F2E">
        <w:t>Yılsonunda</w:t>
      </w:r>
      <w:r w:rsidR="003059AD">
        <w:t xml:space="preserve"> </w:t>
      </w:r>
      <w:r>
        <w:t xml:space="preserve">tamamlanan analizler Kalite </w:t>
      </w:r>
      <w:r w:rsidR="00265D24">
        <w:t>Koordinatörlüğüne</w:t>
      </w:r>
      <w:r>
        <w:t xml:space="preserve"> teslim edilir.</w:t>
      </w:r>
    </w:p>
    <w:p w14:paraId="213FADB6" w14:textId="17F99AC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>Zaman içerisinde şartların değişmesi veya alınan önlemler sonucu riskler, olasılık ve şiddet</w:t>
      </w:r>
      <w:r w:rsidR="00B52EB5">
        <w:t>/etki</w:t>
      </w:r>
      <w:r>
        <w:t xml:space="preserve"> yönünden</w:t>
      </w:r>
      <w:r w:rsidR="003059AD">
        <w:t xml:space="preserve"> </w:t>
      </w:r>
      <w:r>
        <w:t>değişiklik gösterebilir. Değiş</w:t>
      </w:r>
      <w:r w:rsidR="001A4F2E">
        <w:t>en koşullar yeni risk alanlarını</w:t>
      </w:r>
      <w:r>
        <w:t xml:space="preserve"> ortaya çıkarabilir. Bu nedenle tespit</w:t>
      </w:r>
      <w:r w:rsidR="003059AD">
        <w:t xml:space="preserve"> </w:t>
      </w:r>
      <w:r>
        <w:t>edilen risklerin ve risk yönetim sürecinin her yönüyle, belirli aralıklarla gözden geçirilmesi gerekir.</w:t>
      </w:r>
    </w:p>
    <w:p w14:paraId="22F7F3A3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bookmarkStart w:id="12" w:name="bookmark18"/>
      <w:r>
        <w:t>İLGİLİ DOKÜMANLAR</w:t>
      </w:r>
      <w:bookmarkEnd w:id="12"/>
    </w:p>
    <w:p w14:paraId="1D4A89DC" w14:textId="77777777" w:rsidR="00D22B49" w:rsidRDefault="00D42DBA" w:rsidP="006F62FD">
      <w:pPr>
        <w:pStyle w:val="Balk11"/>
        <w:keepNext/>
        <w:keepLines/>
        <w:shd w:val="clear" w:color="auto" w:fill="auto"/>
        <w:spacing w:line="360" w:lineRule="auto"/>
        <w:jc w:val="both"/>
      </w:pPr>
      <w:bookmarkStart w:id="13" w:name="bookmark19"/>
      <w:r>
        <w:t>6.1. İç Kaynaklı Dokümanlar</w:t>
      </w:r>
      <w:bookmarkEnd w:id="13"/>
    </w:p>
    <w:p w14:paraId="2C756685" w14:textId="3704363D" w:rsidR="00D22B49" w:rsidRDefault="00494F3F" w:rsidP="006F62FD">
      <w:pPr>
        <w:pStyle w:val="Gvdemetni20"/>
        <w:shd w:val="clear" w:color="auto" w:fill="auto"/>
        <w:spacing w:before="0" w:after="0" w:line="360" w:lineRule="auto"/>
        <w:ind w:left="400"/>
        <w:rPr>
          <w:sz w:val="2"/>
          <w:szCs w:val="2"/>
        </w:rPr>
      </w:pPr>
      <w:r>
        <w:t>• FR-</w:t>
      </w:r>
      <w:r w:rsidR="008D1487">
        <w:t>163</w:t>
      </w:r>
      <w:r w:rsidR="00D42DBA">
        <w:t>-Risk ve Fırsat Analiz Tablosu</w:t>
      </w:r>
      <w:r w:rsidR="00252F7B">
        <w:t xml:space="preserve"> Formu</w:t>
      </w:r>
    </w:p>
    <w:sectPr w:rsidR="00D22B49" w:rsidSect="008C2B4C">
      <w:headerReference w:type="even" r:id="rId9"/>
      <w:headerReference w:type="default" r:id="rId10"/>
      <w:footerReference w:type="default" r:id="rId11"/>
      <w:type w:val="continuous"/>
      <w:pgSz w:w="11900" w:h="16840"/>
      <w:pgMar w:top="1418" w:right="1410" w:bottom="774" w:left="1560" w:header="568" w:footer="3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6A02" w14:textId="77777777" w:rsidR="00FC6705" w:rsidRDefault="00FC6705" w:rsidP="00D22B49">
      <w:r>
        <w:separator/>
      </w:r>
    </w:p>
  </w:endnote>
  <w:endnote w:type="continuationSeparator" w:id="0">
    <w:p w14:paraId="6306EB7F" w14:textId="77777777" w:rsidR="00FC6705" w:rsidRDefault="00FC6705" w:rsidP="00D2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521"/>
    </w:tblGrid>
    <w:tr w:rsidR="005D2388" w:rsidRPr="003445DC" w14:paraId="079053FA" w14:textId="77777777" w:rsidTr="005D2388">
      <w:trPr>
        <w:trHeight w:val="747"/>
      </w:trPr>
      <w:tc>
        <w:tcPr>
          <w:tcW w:w="3259" w:type="dxa"/>
          <w:shd w:val="clear" w:color="auto" w:fill="auto"/>
        </w:tcPr>
        <w:p w14:paraId="1C467847" w14:textId="3D703158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56810CCA" w14:textId="72BAD349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521" w:type="dxa"/>
          <w:shd w:val="clear" w:color="auto" w:fill="auto"/>
        </w:tcPr>
        <w:p w14:paraId="10CE65DB" w14:textId="5FF0CA4F" w:rsidR="008C2B4C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  <w:p w14:paraId="2FD488C9" w14:textId="2C4C93CA" w:rsidR="008C2B4C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46F23FD6" w14:textId="77777777" w:rsidR="005D2388" w:rsidRDefault="005D23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45CC" w14:textId="77777777" w:rsidR="00FC6705" w:rsidRDefault="00FC6705"/>
  </w:footnote>
  <w:footnote w:type="continuationSeparator" w:id="0">
    <w:p w14:paraId="57B97FFD" w14:textId="77777777" w:rsidR="00FC6705" w:rsidRDefault="00FC67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2"/>
      <w:gridCol w:w="5029"/>
      <w:gridCol w:w="1497"/>
      <w:gridCol w:w="1240"/>
    </w:tblGrid>
    <w:tr w:rsidR="005D2388" w:rsidRPr="00151E02" w14:paraId="1BF7819F" w14:textId="77777777" w:rsidTr="005D2388">
      <w:trPr>
        <w:trHeight w:val="276"/>
      </w:trPr>
      <w:tc>
        <w:tcPr>
          <w:tcW w:w="1447" w:type="dxa"/>
          <w:vMerge w:val="restart"/>
          <w:vAlign w:val="center"/>
        </w:tcPr>
        <w:p w14:paraId="0AE7009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199B32D8" wp14:editId="71FA3CC4">
                <wp:simplePos x="0" y="0"/>
                <wp:positionH relativeFrom="column">
                  <wp:posOffset>-46355</wp:posOffset>
                </wp:positionH>
                <wp:positionV relativeFrom="paragraph">
                  <wp:posOffset>8255</wp:posOffset>
                </wp:positionV>
                <wp:extent cx="760730" cy="723900"/>
                <wp:effectExtent l="19050" t="0" r="1270" b="0"/>
                <wp:wrapNone/>
                <wp:docPr id="1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7" w:type="dxa"/>
          <w:vMerge w:val="restart"/>
          <w:vAlign w:val="center"/>
        </w:tcPr>
        <w:p w14:paraId="5B0DDCD2" w14:textId="77777777" w:rsidR="005D2388" w:rsidRPr="00373438" w:rsidRDefault="002B2393" w:rsidP="005D238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BATMAN</w:t>
          </w:r>
          <w:r w:rsidR="005D2388" w:rsidRPr="00373438">
            <w:rPr>
              <w:rFonts w:ascii="Times New Roman" w:hAnsi="Times New Roman" w:cs="Times New Roman"/>
              <w:b/>
              <w:sz w:val="28"/>
            </w:rPr>
            <w:t xml:space="preserve"> ÜNİVERSİTESİ </w:t>
          </w:r>
          <w:r w:rsidR="005D2388">
            <w:rPr>
              <w:rFonts w:ascii="Times New Roman" w:hAnsi="Times New Roman" w:cs="Times New Roman"/>
              <w:b/>
              <w:sz w:val="28"/>
            </w:rPr>
            <w:t>RİSK YÖNETİMİ</w:t>
          </w:r>
        </w:p>
        <w:p w14:paraId="3DDD40D3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92" w:type="dxa"/>
          <w:vAlign w:val="center"/>
        </w:tcPr>
        <w:p w14:paraId="6C0CC501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410" w:type="dxa"/>
          <w:vAlign w:val="center"/>
        </w:tcPr>
        <w:p w14:paraId="40EE95D9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52420F05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013477CC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54E48814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5E453F3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410" w:type="dxa"/>
          <w:vAlign w:val="center"/>
        </w:tcPr>
        <w:p w14:paraId="2197A92E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01A8DFF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4B470D5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FD73989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7EC73DC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10" w:type="dxa"/>
          <w:vAlign w:val="center"/>
        </w:tcPr>
        <w:p w14:paraId="3C9A8CDB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1D53634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65C61A58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BED9056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63C7226F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10" w:type="dxa"/>
          <w:vAlign w:val="center"/>
        </w:tcPr>
        <w:p w14:paraId="6980EB7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6E413E36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3B8D2ECD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32493402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3D5CF9C8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410" w:type="dxa"/>
          <w:vAlign w:val="center"/>
        </w:tcPr>
        <w:p w14:paraId="32E74B5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57FC8B03" w14:textId="77777777" w:rsidR="005D2388" w:rsidRDefault="005D23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8"/>
      <w:gridCol w:w="4642"/>
      <w:gridCol w:w="1418"/>
      <w:gridCol w:w="1302"/>
    </w:tblGrid>
    <w:tr w:rsidR="005D2388" w:rsidRPr="00AE6D38" w14:paraId="2C7AAB10" w14:textId="77777777" w:rsidTr="005D2388">
      <w:trPr>
        <w:trHeight w:val="276"/>
      </w:trPr>
      <w:tc>
        <w:tcPr>
          <w:tcW w:w="1566" w:type="dxa"/>
          <w:vMerge w:val="restart"/>
          <w:shd w:val="clear" w:color="auto" w:fill="auto"/>
          <w:vAlign w:val="center"/>
        </w:tcPr>
        <w:p w14:paraId="2654AE34" w14:textId="77777777" w:rsidR="005D2388" w:rsidRPr="00AE6D38" w:rsidRDefault="002B2393" w:rsidP="005D23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27FA232A" wp14:editId="4223D4C1">
                <wp:extent cx="800100" cy="6477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Merge w:val="restart"/>
          <w:shd w:val="clear" w:color="auto" w:fill="auto"/>
          <w:vAlign w:val="center"/>
        </w:tcPr>
        <w:p w14:paraId="19ABBDCF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RİSK VE FIRSAT ANALİZ PROSEDÜRÜ</w:t>
          </w:r>
          <w:r w:rsidRPr="000C1CD6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1466" w:type="dxa"/>
          <w:shd w:val="clear" w:color="auto" w:fill="auto"/>
          <w:vAlign w:val="center"/>
        </w:tcPr>
        <w:p w14:paraId="6C9D7B86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329" w:type="dxa"/>
          <w:shd w:val="clear" w:color="auto" w:fill="auto"/>
          <w:vAlign w:val="center"/>
        </w:tcPr>
        <w:p w14:paraId="7098AEE6" w14:textId="7C917790" w:rsidR="005D2388" w:rsidRPr="000C1CD6" w:rsidRDefault="004909B7" w:rsidP="005D238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KYS-</w:t>
          </w:r>
          <w:r w:rsidR="006F62FD">
            <w:rPr>
              <w:rFonts w:ascii="Times New Roman" w:hAnsi="Times New Roman"/>
              <w:sz w:val="18"/>
            </w:rPr>
            <w:t>PR-005</w:t>
          </w:r>
        </w:p>
      </w:tc>
    </w:tr>
    <w:tr w:rsidR="005D2388" w:rsidRPr="00AE6D38" w14:paraId="33318C2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790141E0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0493000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52C35321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329" w:type="dxa"/>
          <w:shd w:val="clear" w:color="auto" w:fill="auto"/>
          <w:vAlign w:val="center"/>
        </w:tcPr>
        <w:p w14:paraId="2A58FEBE" w14:textId="08BBA395" w:rsidR="005D2388" w:rsidRPr="000C1CD6" w:rsidRDefault="006C697A" w:rsidP="005D238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05.05.2020</w:t>
          </w:r>
        </w:p>
      </w:tc>
    </w:tr>
    <w:tr w:rsidR="005D2388" w:rsidRPr="00AE6D38" w14:paraId="1DD65783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0ED97DF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8C169F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F0B9D72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329" w:type="dxa"/>
          <w:shd w:val="clear" w:color="auto" w:fill="auto"/>
          <w:vAlign w:val="center"/>
        </w:tcPr>
        <w:p w14:paraId="3BA40165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D2388" w:rsidRPr="00AE6D38" w14:paraId="2633A9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42E7EB9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5645159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35AC5C8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329" w:type="dxa"/>
          <w:shd w:val="clear" w:color="auto" w:fill="auto"/>
          <w:vAlign w:val="center"/>
        </w:tcPr>
        <w:p w14:paraId="3C6267C4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00</w:t>
          </w:r>
        </w:p>
      </w:tc>
    </w:tr>
    <w:tr w:rsidR="005D2388" w:rsidRPr="00AE6D38" w14:paraId="77B408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26F8025C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137F40A4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13DF966B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Sayfa</w:t>
          </w:r>
          <w:r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329" w:type="dxa"/>
          <w:shd w:val="clear" w:color="auto" w:fill="auto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039A3B40" w14:textId="42E2DDF3" w:rsidR="005D2388" w:rsidRDefault="000166C7"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PAGE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D173E8">
                <w:rPr>
                  <w:rFonts w:ascii="Times New Roman" w:hAnsi="Times New Roman"/>
                  <w:noProof/>
                  <w:sz w:val="18"/>
                </w:rPr>
                <w:t>2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  <w:r w:rsidR="005D2388" w:rsidRPr="00494F3F">
                <w:rPr>
                  <w:rFonts w:ascii="Times New Roman" w:hAnsi="Times New Roman"/>
                  <w:sz w:val="18"/>
                </w:rPr>
                <w:t xml:space="preserve"> / </w:t>
              </w:r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NUMPAGES 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D173E8">
                <w:rPr>
                  <w:rFonts w:ascii="Times New Roman" w:hAnsi="Times New Roman"/>
                  <w:noProof/>
                  <w:sz w:val="18"/>
                </w:rPr>
                <w:t>5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</w:p>
          </w:sdtContent>
        </w:sdt>
        <w:p w14:paraId="4EDFB874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0B4A9C5" w14:textId="77777777" w:rsidR="005D2388" w:rsidRDefault="005D2388" w:rsidP="009452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B49"/>
    <w:multiLevelType w:val="multilevel"/>
    <w:tmpl w:val="52C814C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E7954"/>
    <w:multiLevelType w:val="multilevel"/>
    <w:tmpl w:val="ED8C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25975"/>
    <w:multiLevelType w:val="multilevel"/>
    <w:tmpl w:val="5BEAA18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91878"/>
    <w:multiLevelType w:val="multilevel"/>
    <w:tmpl w:val="B63A3F1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544AD"/>
    <w:multiLevelType w:val="multilevel"/>
    <w:tmpl w:val="CCD0C2C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94C19"/>
    <w:multiLevelType w:val="multilevel"/>
    <w:tmpl w:val="2C84398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05E53"/>
    <w:multiLevelType w:val="multilevel"/>
    <w:tmpl w:val="BA70F20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C9558B"/>
    <w:multiLevelType w:val="multilevel"/>
    <w:tmpl w:val="0D34DB8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B703E6"/>
    <w:multiLevelType w:val="multilevel"/>
    <w:tmpl w:val="9D262B8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49"/>
    <w:rsid w:val="000166C7"/>
    <w:rsid w:val="000B4F8B"/>
    <w:rsid w:val="000C1617"/>
    <w:rsid w:val="000C5E60"/>
    <w:rsid w:val="000E5155"/>
    <w:rsid w:val="000E7D3C"/>
    <w:rsid w:val="00113C42"/>
    <w:rsid w:val="00130604"/>
    <w:rsid w:val="001575E8"/>
    <w:rsid w:val="00191A1A"/>
    <w:rsid w:val="001A4F2E"/>
    <w:rsid w:val="001C1F09"/>
    <w:rsid w:val="001E011C"/>
    <w:rsid w:val="00252F7B"/>
    <w:rsid w:val="00265D24"/>
    <w:rsid w:val="002B2393"/>
    <w:rsid w:val="002D34AE"/>
    <w:rsid w:val="002F5E1A"/>
    <w:rsid w:val="003059AD"/>
    <w:rsid w:val="00325C23"/>
    <w:rsid w:val="003D18C5"/>
    <w:rsid w:val="003E482D"/>
    <w:rsid w:val="003E4DA7"/>
    <w:rsid w:val="003E70B4"/>
    <w:rsid w:val="003E7328"/>
    <w:rsid w:val="003E7A8A"/>
    <w:rsid w:val="0043083A"/>
    <w:rsid w:val="00490011"/>
    <w:rsid w:val="004909B7"/>
    <w:rsid w:val="00494F3F"/>
    <w:rsid w:val="004E5B2F"/>
    <w:rsid w:val="00546DC1"/>
    <w:rsid w:val="005776CC"/>
    <w:rsid w:val="00587233"/>
    <w:rsid w:val="005B23C6"/>
    <w:rsid w:val="005D2388"/>
    <w:rsid w:val="00666D82"/>
    <w:rsid w:val="00686F9F"/>
    <w:rsid w:val="006C697A"/>
    <w:rsid w:val="006F0AF7"/>
    <w:rsid w:val="006F62FD"/>
    <w:rsid w:val="00716457"/>
    <w:rsid w:val="007217E0"/>
    <w:rsid w:val="00740AA1"/>
    <w:rsid w:val="00840CD0"/>
    <w:rsid w:val="0085021A"/>
    <w:rsid w:val="00891A67"/>
    <w:rsid w:val="008C2B4C"/>
    <w:rsid w:val="008D1487"/>
    <w:rsid w:val="00901A4D"/>
    <w:rsid w:val="00924D55"/>
    <w:rsid w:val="0094524F"/>
    <w:rsid w:val="00954796"/>
    <w:rsid w:val="009A025B"/>
    <w:rsid w:val="009A5308"/>
    <w:rsid w:val="009F7012"/>
    <w:rsid w:val="00A054D7"/>
    <w:rsid w:val="00A217CB"/>
    <w:rsid w:val="00A44F1E"/>
    <w:rsid w:val="00AF0577"/>
    <w:rsid w:val="00B52EB5"/>
    <w:rsid w:val="00B96585"/>
    <w:rsid w:val="00BA3451"/>
    <w:rsid w:val="00BB58E8"/>
    <w:rsid w:val="00C06A21"/>
    <w:rsid w:val="00C857C9"/>
    <w:rsid w:val="00C95F77"/>
    <w:rsid w:val="00CB2DDB"/>
    <w:rsid w:val="00D173E8"/>
    <w:rsid w:val="00D22B49"/>
    <w:rsid w:val="00D42DBA"/>
    <w:rsid w:val="00DB4B47"/>
    <w:rsid w:val="00DF12CD"/>
    <w:rsid w:val="00DF632F"/>
    <w:rsid w:val="00E15EFA"/>
    <w:rsid w:val="00E518FC"/>
    <w:rsid w:val="00E74439"/>
    <w:rsid w:val="00E758C1"/>
    <w:rsid w:val="00F4477F"/>
    <w:rsid w:val="00F86803"/>
    <w:rsid w:val="00FA171A"/>
    <w:rsid w:val="00FA5827"/>
    <w:rsid w:val="00FB43AB"/>
    <w:rsid w:val="00FC6705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19D1"/>
  <w15:docId w15:val="{2F6BF88B-8A26-4941-BCA1-79B4E9DC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2B49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850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2B49"/>
    <w:rPr>
      <w:color w:val="0066CC"/>
      <w:u w:val="single"/>
    </w:rPr>
  </w:style>
  <w:style w:type="character" w:customStyle="1" w:styleId="Balk1Exact">
    <w:name w:val="Başlık #1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10">
    <w:name w:val="Başlık #1_"/>
    <w:basedOn w:val="VarsaylanParagrafYazTipi"/>
    <w:link w:val="Balk11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Kaln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Kaln0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1pttalik">
    <w:name w:val="Gövde metni (2) + 11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15pttalik">
    <w:name w:val="Gövde metni (2) + 11;5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">
    <w:name w:val="Gövde metni (2)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75pt">
    <w:name w:val="Gövde metni (2) + 7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55pt">
    <w:name w:val="Gövde metni (2) + 5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paragraph" w:customStyle="1" w:styleId="Balk11">
    <w:name w:val="Başlık #1"/>
    <w:basedOn w:val="Normal"/>
    <w:link w:val="Balk10"/>
    <w:rsid w:val="00D22B4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D22B49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D22B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5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21A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21A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D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D82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E70B4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2024-11-07T10:30:00Z</dcterms:created>
  <dcterms:modified xsi:type="dcterms:W3CDTF">2024-11-07T10:30:00Z</dcterms:modified>
</cp:coreProperties>
</file>