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301"/>
        <w:tblW w:w="10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5252"/>
        <w:gridCol w:w="1739"/>
        <w:gridCol w:w="1230"/>
      </w:tblGrid>
      <w:tr w:rsidR="00A42F2C" w14:paraId="3E35A3D0" w14:textId="77777777" w:rsidTr="00AA3329">
        <w:trPr>
          <w:trHeight w:val="244"/>
        </w:trPr>
        <w:tc>
          <w:tcPr>
            <w:tcW w:w="1828" w:type="dxa"/>
            <w:vMerge w:val="restart"/>
            <w:tcBorders>
              <w:right w:val="single" w:sz="8" w:space="0" w:color="000000"/>
            </w:tcBorders>
          </w:tcPr>
          <w:p w14:paraId="1C67E59A" w14:textId="77777777" w:rsidR="00A42F2C" w:rsidRDefault="00A42F2C" w:rsidP="00A42F2C">
            <w:pPr>
              <w:pStyle w:val="TableParagraph"/>
              <w:spacing w:before="3"/>
              <w:rPr>
                <w:sz w:val="8"/>
              </w:rPr>
            </w:pPr>
          </w:p>
          <w:p w14:paraId="58E0059B" w14:textId="77777777" w:rsidR="00A42F2C" w:rsidRDefault="00A42F2C" w:rsidP="00A42F2C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879F769" wp14:editId="65CAE24D">
                  <wp:extent cx="830580" cy="648970"/>
                  <wp:effectExtent l="0" t="0" r="7620" b="0"/>
                  <wp:docPr id="1" name="image1.png" descr="Sheet.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05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DB620D" w14:textId="7945BFA8" w:rsidR="00AA3329" w:rsidRPr="00AA3329" w:rsidRDefault="00AA3329" w:rsidP="00AA3329">
            <w:pPr>
              <w:pStyle w:val="TableParagraph"/>
              <w:ind w:right="799"/>
              <w:jc w:val="center"/>
              <w:rPr>
                <w:b/>
                <w:sz w:val="28"/>
                <w:szCs w:val="28"/>
              </w:rPr>
            </w:pPr>
            <w:bookmarkStart w:id="0" w:name="İA-002-Elektronik_İmza_Başvuru_İş_Akışı."/>
            <w:bookmarkStart w:id="1" w:name="Sayfa-1"/>
            <w:bookmarkEnd w:id="0"/>
            <w:bookmarkEnd w:id="1"/>
            <w:r w:rsidRPr="00AA3329">
              <w:rPr>
                <w:b/>
                <w:sz w:val="28"/>
                <w:szCs w:val="28"/>
              </w:rPr>
              <w:t>T.C.</w:t>
            </w:r>
            <w:r w:rsidR="00A42F2C" w:rsidRPr="00AA3329">
              <w:rPr>
                <w:b/>
                <w:sz w:val="28"/>
                <w:szCs w:val="28"/>
              </w:rPr>
              <w:t xml:space="preserve"> </w:t>
            </w:r>
          </w:p>
          <w:p w14:paraId="40659BD0" w14:textId="582F9E5E" w:rsidR="00AA3329" w:rsidRPr="00AA3329" w:rsidRDefault="00AA3329" w:rsidP="00AA3329">
            <w:pPr>
              <w:pStyle w:val="TableParagraph"/>
              <w:ind w:right="799"/>
              <w:jc w:val="center"/>
              <w:rPr>
                <w:b/>
                <w:sz w:val="28"/>
                <w:szCs w:val="28"/>
              </w:rPr>
            </w:pPr>
            <w:r w:rsidRPr="00AA3329">
              <w:rPr>
                <w:b/>
                <w:sz w:val="28"/>
                <w:szCs w:val="28"/>
              </w:rPr>
              <w:t>BATMAN ÜNİVERSİTESİ</w:t>
            </w:r>
          </w:p>
          <w:p w14:paraId="25440226" w14:textId="758F0169" w:rsidR="00A42F2C" w:rsidRPr="00AA3329" w:rsidRDefault="00A42F2C" w:rsidP="0096579A">
            <w:pPr>
              <w:pStyle w:val="TableParagraph"/>
              <w:ind w:right="799"/>
              <w:jc w:val="center"/>
              <w:rPr>
                <w:b/>
                <w:sz w:val="24"/>
                <w:szCs w:val="24"/>
              </w:rPr>
            </w:pPr>
            <w:r w:rsidRPr="00AA3329">
              <w:rPr>
                <w:b/>
                <w:sz w:val="28"/>
                <w:szCs w:val="28"/>
              </w:rPr>
              <w:t>BÜ</w:t>
            </w:r>
            <w:r w:rsidR="0096579A">
              <w:rPr>
                <w:b/>
                <w:sz w:val="28"/>
                <w:szCs w:val="28"/>
              </w:rPr>
              <w:t>GAM</w:t>
            </w:r>
            <w:r w:rsidRPr="00AA3329">
              <w:rPr>
                <w:b/>
                <w:sz w:val="28"/>
                <w:szCs w:val="28"/>
              </w:rPr>
              <w:t xml:space="preserve"> NUMUNE KABUL KRİTERLERİ</w:t>
            </w: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3D13226E" w14:textId="77777777" w:rsidR="00A42F2C" w:rsidRDefault="00A42F2C" w:rsidP="00A42F2C">
            <w:pPr>
              <w:pStyle w:val="TableParagraph"/>
              <w:spacing w:before="17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230" w:type="dxa"/>
          </w:tcPr>
          <w:p w14:paraId="221C9966" w14:textId="6A64FD79" w:rsidR="00A42F2C" w:rsidRPr="005E0937" w:rsidRDefault="00A42F2C" w:rsidP="00A42F2C">
            <w:pPr>
              <w:pStyle w:val="TableParagraph"/>
              <w:spacing w:before="26"/>
              <w:rPr>
                <w:sz w:val="18"/>
              </w:rPr>
            </w:pPr>
          </w:p>
        </w:tc>
      </w:tr>
      <w:tr w:rsidR="00A42F2C" w14:paraId="3FBB5515" w14:textId="77777777" w:rsidTr="00AA3329">
        <w:trPr>
          <w:trHeight w:val="239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2ADA4086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EA25FB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5EBFC4BB" w14:textId="77777777" w:rsidR="00A42F2C" w:rsidRDefault="00A42F2C" w:rsidP="00A42F2C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230" w:type="dxa"/>
          </w:tcPr>
          <w:p w14:paraId="7DEB1CC3" w14:textId="3F5CF37B" w:rsidR="00A42F2C" w:rsidRDefault="00A42F2C" w:rsidP="00AA3329">
            <w:pPr>
              <w:pStyle w:val="TableParagraph"/>
              <w:spacing w:before="21"/>
              <w:rPr>
                <w:sz w:val="18"/>
              </w:rPr>
            </w:pPr>
          </w:p>
        </w:tc>
      </w:tr>
      <w:tr w:rsidR="00A42F2C" w14:paraId="44B297DB" w14:textId="77777777" w:rsidTr="00AA3329">
        <w:trPr>
          <w:trHeight w:val="239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10BBE45E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34A68B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65E5E568" w14:textId="77777777" w:rsidR="00A42F2C" w:rsidRDefault="00A42F2C" w:rsidP="00A42F2C">
            <w:pPr>
              <w:pStyle w:val="TableParagraph"/>
              <w:spacing w:before="12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230" w:type="dxa"/>
          </w:tcPr>
          <w:p w14:paraId="3F9EA87D" w14:textId="77777777" w:rsidR="00A42F2C" w:rsidRDefault="00A42F2C" w:rsidP="00A42F2C">
            <w:pPr>
              <w:pStyle w:val="TableParagraph"/>
              <w:rPr>
                <w:sz w:val="18"/>
              </w:rPr>
            </w:pPr>
          </w:p>
        </w:tc>
      </w:tr>
      <w:tr w:rsidR="00A42F2C" w14:paraId="66EFB7FD" w14:textId="77777777" w:rsidTr="00AA3329">
        <w:trPr>
          <w:trHeight w:val="239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12787B3D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1C7BFF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66CDBF40" w14:textId="77777777" w:rsidR="00A42F2C" w:rsidRDefault="00A42F2C" w:rsidP="00A42F2C">
            <w:pPr>
              <w:pStyle w:val="TableParagraph"/>
              <w:spacing w:before="13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230" w:type="dxa"/>
          </w:tcPr>
          <w:p w14:paraId="7E2EDD60" w14:textId="504E7B67" w:rsidR="00A42F2C" w:rsidRDefault="00A42F2C" w:rsidP="00A42F2C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A42F2C" w14:paraId="39FA3062" w14:textId="77777777" w:rsidTr="00AA3329">
        <w:trPr>
          <w:trHeight w:val="193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15725887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EBAF0EF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44B9DC03" w14:textId="77777777" w:rsidR="00A42F2C" w:rsidRDefault="00A42F2C" w:rsidP="00A42F2C">
            <w:pPr>
              <w:pStyle w:val="TableParagraph"/>
              <w:spacing w:before="13" w:line="218" w:lineRule="exact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230" w:type="dxa"/>
          </w:tcPr>
          <w:p w14:paraId="293A3B1A" w14:textId="47CE024F" w:rsidR="00A42F2C" w:rsidRPr="005E0937" w:rsidRDefault="00A42F2C" w:rsidP="00A42F2C">
            <w:pPr>
              <w:pStyle w:val="TableParagraph"/>
              <w:spacing w:before="22"/>
              <w:rPr>
                <w:sz w:val="18"/>
              </w:rPr>
            </w:pPr>
            <w:bookmarkStart w:id="2" w:name="_GoBack"/>
            <w:bookmarkEnd w:id="2"/>
          </w:p>
        </w:tc>
      </w:tr>
    </w:tbl>
    <w:p w14:paraId="4E1EF492" w14:textId="0C032699" w:rsidR="00A42F2C" w:rsidRDefault="00A42F2C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p w14:paraId="6FEC6B02" w14:textId="5BD22B1A" w:rsidR="00F82A66" w:rsidRDefault="00F82A66" w:rsidP="00F82A66">
      <w:pPr>
        <w:rPr>
          <w:lang w:eastAsia="tr-TR"/>
        </w:rPr>
      </w:pPr>
    </w:p>
    <w:p w14:paraId="29EA4947" w14:textId="77777777" w:rsidR="006F3F5A" w:rsidRDefault="00F82A66" w:rsidP="00E24532">
      <w:pPr>
        <w:spacing w:after="0" w:line="360" w:lineRule="auto"/>
        <w:rPr>
          <w:rFonts w:ascii="Times New Roman" w:hAnsi="Times New Roman" w:cs="Times New Roman"/>
          <w:lang w:eastAsia="tr-TR"/>
        </w:rPr>
      </w:pPr>
      <w:r w:rsidRPr="00F82A66">
        <w:rPr>
          <w:rFonts w:ascii="Times New Roman" w:hAnsi="Times New Roman" w:cs="Times New Roman"/>
          <w:lang w:eastAsia="tr-TR"/>
        </w:rPr>
        <w:t>Müşteri numune gönderirken; “</w:t>
      </w:r>
      <w:r w:rsidRPr="00F82A66">
        <w:rPr>
          <w:rFonts w:ascii="Times New Roman" w:hAnsi="Times New Roman" w:cs="Times New Roman"/>
          <w:u w:val="single"/>
          <w:lang w:eastAsia="tr-TR"/>
        </w:rPr>
        <w:t>Analiz Sözleşmesi</w:t>
      </w:r>
      <w:r w:rsidRPr="00F82A66">
        <w:rPr>
          <w:rFonts w:ascii="Times New Roman" w:hAnsi="Times New Roman" w:cs="Times New Roman"/>
          <w:lang w:eastAsia="tr-TR"/>
        </w:rPr>
        <w:t>” metninde yazılan şartlarla birlikte, aşağıda belirtilen şartlara da uymakla yükümlüdür. Uygun olmayan numune gönderilmesi halinde BÜ</w:t>
      </w:r>
      <w:r>
        <w:rPr>
          <w:rFonts w:ascii="Times New Roman" w:hAnsi="Times New Roman" w:cs="Times New Roman"/>
          <w:lang w:eastAsia="tr-TR"/>
        </w:rPr>
        <w:t xml:space="preserve">GAM </w:t>
      </w:r>
      <w:r w:rsidRPr="00F82A66">
        <w:rPr>
          <w:rFonts w:ascii="Times New Roman" w:hAnsi="Times New Roman" w:cs="Times New Roman"/>
          <w:lang w:eastAsia="tr-TR"/>
        </w:rPr>
        <w:t>numuneyi kabul etmeme hakkına sahiptir.</w:t>
      </w:r>
    </w:p>
    <w:p w14:paraId="6958C5EA" w14:textId="16B83D05" w:rsidR="00982214" w:rsidRDefault="006F3F5A" w:rsidP="00E24532">
      <w:pPr>
        <w:spacing w:after="0" w:line="360" w:lineRule="auto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Numunelerin </w:t>
      </w:r>
      <w:proofErr w:type="spellStart"/>
      <w:r>
        <w:rPr>
          <w:rFonts w:ascii="Times New Roman" w:hAnsi="Times New Roman" w:cs="Times New Roman"/>
          <w:lang w:eastAsia="tr-TR"/>
        </w:rPr>
        <w:t>BÜGAM’a</w:t>
      </w:r>
      <w:proofErr w:type="spellEnd"/>
      <w:r w:rsidR="00DD5502" w:rsidRPr="00DD5502">
        <w:rPr>
          <w:rFonts w:ascii="Times New Roman" w:hAnsi="Times New Roman" w:cs="Times New Roman"/>
          <w:lang w:eastAsia="tr-TR"/>
        </w:rPr>
        <w:t xml:space="preserve"> getirilmesine kadar geçen sürede muhafazasının sorumluluğu müşteriye aittir.</w:t>
      </w:r>
      <w:r w:rsidR="00B75F24">
        <w:rPr>
          <w:rFonts w:ascii="Times New Roman" w:hAnsi="Times New Roman" w:cs="Times New Roman"/>
          <w:lang w:eastAsia="tr-TR"/>
        </w:rPr>
        <w:t xml:space="preserve"> </w:t>
      </w:r>
      <w:r w:rsidR="00B75F24" w:rsidRPr="00B75F24">
        <w:rPr>
          <w:rFonts w:ascii="Times New Roman" w:hAnsi="Times New Roman" w:cs="Times New Roman"/>
          <w:lang w:eastAsia="tr-TR"/>
        </w:rPr>
        <w:t>Numunelerin özel saklama şartları varsa mutlaka “Analiz Talep Formunda” ilgili bölümde belirtilmelidir.</w:t>
      </w:r>
    </w:p>
    <w:p w14:paraId="3E848399" w14:textId="33F993DA" w:rsidR="00982214" w:rsidRPr="00982214" w:rsidRDefault="00982214" w:rsidP="00E24532">
      <w:pPr>
        <w:spacing w:after="0" w:line="360" w:lineRule="auto"/>
        <w:rPr>
          <w:rFonts w:ascii="Times New Roman" w:hAnsi="Times New Roman" w:cs="Times New Roman"/>
          <w:lang w:eastAsia="tr-TR"/>
        </w:rPr>
      </w:pPr>
      <w:r w:rsidRPr="00982214">
        <w:rPr>
          <w:rFonts w:ascii="Times New Roman" w:hAnsi="Times New Roman" w:cs="Times New Roman"/>
          <w:lang w:eastAsia="tr-TR"/>
        </w:rPr>
        <w:t>Orijinal numuneyi temsil eden numune/numuneler hacimlerine ve özelliklerine uygun olacak şekilde</w:t>
      </w:r>
      <w:r w:rsidR="000922AA">
        <w:rPr>
          <w:rFonts w:ascii="Times New Roman" w:hAnsi="Times New Roman" w:cs="Times New Roman"/>
          <w:lang w:eastAsia="tr-TR"/>
        </w:rPr>
        <w:t xml:space="preserve"> tercihen </w:t>
      </w:r>
      <w:proofErr w:type="spellStart"/>
      <w:r w:rsidR="000922AA">
        <w:rPr>
          <w:rFonts w:ascii="Times New Roman" w:hAnsi="Times New Roman" w:cs="Times New Roman"/>
          <w:lang w:eastAsia="tr-TR"/>
        </w:rPr>
        <w:t>polipropilen</w:t>
      </w:r>
      <w:proofErr w:type="spellEnd"/>
      <w:r w:rsidR="000922AA">
        <w:rPr>
          <w:rFonts w:ascii="Times New Roman" w:hAnsi="Times New Roman" w:cs="Times New Roman"/>
          <w:lang w:eastAsia="tr-TR"/>
        </w:rPr>
        <w:t xml:space="preserve"> kaplarda, orijinal ambalaj </w:t>
      </w:r>
      <w:r w:rsidRPr="00982214">
        <w:rPr>
          <w:rFonts w:ascii="Times New Roman" w:hAnsi="Times New Roman" w:cs="Times New Roman"/>
          <w:lang w:eastAsia="tr-TR"/>
        </w:rPr>
        <w:t xml:space="preserve">veya cam kaplarda ağzı kapalı olarak teslim edilmelidir. Numunelerin yüzeyleri tozlardan arındırılmış olmalıdır aksi takdirde sorumluluk kabul edilmeyecektir. </w:t>
      </w:r>
      <w:r w:rsidR="006F3F5A" w:rsidRPr="00982214">
        <w:rPr>
          <w:rFonts w:ascii="Times New Roman" w:hAnsi="Times New Roman" w:cs="Times New Roman"/>
          <w:lang w:eastAsia="tr-TR"/>
        </w:rPr>
        <w:t>Numune ambalajları numuneyi açıklayacak bilgileri içeren etikete sahip olmalıdır.</w:t>
      </w:r>
    </w:p>
    <w:p w14:paraId="540E2A95" w14:textId="44127119" w:rsidR="00982214" w:rsidRDefault="00982214" w:rsidP="00E24532">
      <w:pPr>
        <w:spacing w:after="0" w:line="360" w:lineRule="auto"/>
        <w:rPr>
          <w:rFonts w:ascii="Times New Roman" w:hAnsi="Times New Roman" w:cs="Times New Roman"/>
          <w:lang w:eastAsia="tr-TR"/>
        </w:rPr>
      </w:pPr>
      <w:r w:rsidRPr="00A42F2C">
        <w:rPr>
          <w:rFonts w:ascii="Times New Roman" w:hAnsi="Times New Roman" w:cs="Times New Roman"/>
          <w:lang w:eastAsia="tr-TR"/>
        </w:rPr>
        <w:t>Analiz süresi laboratuvarın yoğunluğuna göre değişebilmektedir. Bu konuda analizi yapacak uzmandan bilgi alınabilir.</w:t>
      </w:r>
    </w:p>
    <w:p w14:paraId="2D9840E6" w14:textId="4316A98C" w:rsidR="00DD5502" w:rsidRPr="00DD5502" w:rsidRDefault="000922AA" w:rsidP="00A704B3">
      <w:pPr>
        <w:spacing w:after="0" w:line="360" w:lineRule="auto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Analiz için gerekli numunelerin ambalaj şekli, kabul sıcaklıkları ve miktarları aşağıda belirtilen Tablo 1 ve Tablo 2’de verilmiştir.</w:t>
      </w:r>
    </w:p>
    <w:p w14:paraId="6EC17BF0" w14:textId="3CBA6061" w:rsidR="00771A6A" w:rsidRPr="00F82A66" w:rsidRDefault="00771A6A" w:rsidP="00F82A66">
      <w:pPr>
        <w:rPr>
          <w:rFonts w:ascii="Times New Roman" w:hAnsi="Times New Roman" w:cs="Times New Roman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3157"/>
        <w:gridCol w:w="1297"/>
      </w:tblGrid>
      <w:tr w:rsidR="0083310B" w:rsidRPr="0083310B" w14:paraId="3DCC581C" w14:textId="77777777" w:rsidTr="0083310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73D1" w14:textId="77777777" w:rsidR="0083310B" w:rsidRPr="0083310B" w:rsidRDefault="000922AA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Tablo</w:t>
            </w:r>
            <w:r w:rsidR="0083310B" w:rsidRPr="00833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337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5A1A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310B" w:rsidRPr="0083310B" w14:paraId="48567E50" w14:textId="77777777" w:rsidTr="0083310B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FAA5" w14:textId="77777777" w:rsidR="0083310B" w:rsidRPr="0083310B" w:rsidRDefault="0083310B" w:rsidP="0083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İstenilen Analiz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68EE" w14:textId="77777777" w:rsidR="0083310B" w:rsidRPr="0083310B" w:rsidRDefault="0083310B" w:rsidP="0083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Numunenin Ambalajlanma Şekli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35E6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Numune Miktarı (en az)</w:t>
            </w:r>
          </w:p>
        </w:tc>
      </w:tr>
      <w:tr w:rsidR="0083310B" w:rsidRPr="0083310B" w14:paraId="0342EE4B" w14:textId="77777777" w:rsidTr="0083310B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AC7D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Mikrobiyolojik Analiz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00B1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Orijinal ambalaj veya ambalajlama için </w:t>
            </w:r>
            <w:proofErr w:type="gram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steril</w:t>
            </w:r>
            <w:proofErr w:type="gram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bir materyal olmalı.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5281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 g-ml</w:t>
            </w:r>
          </w:p>
        </w:tc>
      </w:tr>
      <w:tr w:rsidR="0083310B" w:rsidRPr="0083310B" w14:paraId="76AF4DA8" w14:textId="77777777" w:rsidTr="0070756D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550A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Rutubet (Kuru Madde)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3768" w14:textId="165B9D6E" w:rsidR="0083310B" w:rsidRPr="0083310B" w:rsidRDefault="0081438F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="0083310B"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umunenin orijinal formunu etkilemey</w:t>
            </w:r>
            <w:r w:rsidR="007075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ecek bir ambalaj olmalı. "Ekmekt</w:t>
            </w:r>
            <w:r w:rsidR="0083310B"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Rutubet Analizi”  için kabul edilen ekmek bütün olmalı ve fırın çıkış saati üzerinden 6 saat geçmemiş olmalı.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41EF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 g-ml</w:t>
            </w:r>
          </w:p>
        </w:tc>
      </w:tr>
      <w:tr w:rsidR="0083310B" w:rsidRPr="0083310B" w14:paraId="0A0C7659" w14:textId="77777777" w:rsidTr="0070756D">
        <w:trPr>
          <w:trHeight w:val="1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AE4E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Mikotoksin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Analizleri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E2F1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Orijinal ambalaj veya numunenin orijinal formunu etkilemeyecek bir ambalaj olmalı.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1416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Tahıl ve Tahıl Ürünleri en az 300 g Sert Kabuklu Meyveler en az 1000gr </w:t>
            </w:r>
          </w:p>
        </w:tc>
      </w:tr>
      <w:tr w:rsidR="0083310B" w:rsidRPr="0083310B" w14:paraId="4317E74A" w14:textId="77777777" w:rsidTr="0083310B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EC75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Katkı Analizleri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F9DA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06A0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310B" w:rsidRPr="0083310B" w14:paraId="3A6CCAFD" w14:textId="77777777" w:rsidTr="0083310B">
        <w:trPr>
          <w:trHeight w:val="18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E072" w14:textId="3C67D131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Mezeler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31BC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Sorbik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Asit ve 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Benzoik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Asit Aranması Analizleri için gönderilecek olan meze türü numuneler, içeriğinde bulunan tüm bileşenlerin % miktarlarının belirtildiği, üretici tarafından onaylanmış listeyle birlikte gönderilmelidir.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B53E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</w:t>
            </w:r>
          </w:p>
        </w:tc>
      </w:tr>
      <w:tr w:rsidR="0083310B" w:rsidRPr="0083310B" w14:paraId="187EB8AF" w14:textId="77777777" w:rsidTr="0083310B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1FFA" w14:textId="73A81EB4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B261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"Unda 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Benzoil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Peroksit Analizi" için Koyu renkli ışık </w:t>
            </w:r>
            <w:proofErr w:type="gram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geçirmeyen  kavanozda</w:t>
            </w:r>
            <w:proofErr w:type="gram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numune gönderilmelidir.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171E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1kg                                              </w:t>
            </w:r>
          </w:p>
        </w:tc>
      </w:tr>
      <w:tr w:rsidR="0083310B" w:rsidRPr="0083310B" w14:paraId="60F9ED8E" w14:textId="77777777" w:rsidTr="0083310B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2DF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1EC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D91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310B" w:rsidRPr="0083310B" w14:paraId="301931DF" w14:textId="77777777" w:rsidTr="0083310B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3E2B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 Analizleri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F2CF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Orijinal ambalaj veya numunenin orijinal formunu etkilemeyecek bir ambalaj olmalı.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93FD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0,5-2 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lt</w:t>
            </w:r>
            <w:proofErr w:type="spellEnd"/>
          </w:p>
        </w:tc>
      </w:tr>
      <w:tr w:rsidR="0083310B" w:rsidRPr="0083310B" w14:paraId="2A93DFF5" w14:textId="77777777" w:rsidTr="0083310B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0437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 Analizler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8168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Orijinal ambalaj veya numunenin orijinal formunu etkilemeyecek bir ambalaj olmalı.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3AF1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 g-ml</w:t>
            </w:r>
          </w:p>
        </w:tc>
      </w:tr>
      <w:tr w:rsidR="0083310B" w:rsidRPr="0083310B" w14:paraId="6005FA48" w14:textId="77777777" w:rsidTr="0083310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A85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Kalıntı Pestisit Analizi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02DA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A6D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3310B" w:rsidRPr="0083310B" w14:paraId="5C28A61D" w14:textId="77777777" w:rsidTr="0083310B">
        <w:trPr>
          <w:trHeight w:val="16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8F52" w14:textId="54AB3202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(Küçük ebatlı taze ürünler birimler genellikle&lt;25g // 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Üzümsüler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Küçük meyveler, Bezelye, Zeytin vb.)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1D99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Orijinal ambalaj veya numunenin orijinal formunu etkilemeyecek bir ambalaj olmalı.(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kontaminasyon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numunenin zarar görmesini önleyecek, numune ile etkileşmeyecek nitelikte olmalıdır.)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4423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kg</w:t>
            </w:r>
          </w:p>
        </w:tc>
      </w:tr>
      <w:tr w:rsidR="0083310B" w:rsidRPr="0083310B" w14:paraId="2860DC56" w14:textId="77777777" w:rsidTr="0083310B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979B" w14:textId="748112A2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(Orta ebatlı taze ürünler birimler genellikle25-250g arası //Elma, Portakal vb.)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CC75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Orijinal ambalaj veya numunenin orijinal formunu etkilemeyecek bir ambalaj olmalı.(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kontaminasyon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numunenin zarar görmesini önleyecek, numune ile etkileşmeyecek nitelikte olmalıdır.)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725B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kg (En az 10 Birim)</w:t>
            </w:r>
          </w:p>
        </w:tc>
      </w:tr>
      <w:tr w:rsidR="0083310B" w:rsidRPr="0083310B" w14:paraId="4D80BB71" w14:textId="77777777" w:rsidTr="0083310B"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8977" w14:textId="4C5CA91B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(Büyük ebatlı taze ürünler birimler genellikle&gt;250g// </w:t>
            </w:r>
            <w:proofErr w:type="spellStart"/>
            <w:proofErr w:type="gram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Salatalık,Lahana</w:t>
            </w:r>
            <w:proofErr w:type="gram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,Üzümler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(Salkım halinde) vb.)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52E1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Orijinal ambalaj veya numunenin orijinal formunu etkilemeyecek bir ambalaj olmalı.(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kontaminasyon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numunenin zarar görmesini önleyecek, numune ile etkileşmeyecek nitelikte olmalıdır.)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4181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kg (En az 5 birim)</w:t>
            </w:r>
          </w:p>
        </w:tc>
      </w:tr>
      <w:tr w:rsidR="0083310B" w:rsidRPr="0083310B" w14:paraId="4A997994" w14:textId="77777777" w:rsidTr="0083310B"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C620" w14:textId="1733447A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(Çok büyük ebatlı taze ürünler // Kavun, Karpuz vb.)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9EED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Orijinal ambalaj veya numunenin orijinal formunu etkilemeyecek bir ambalaj olmalı.(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kontaminasyon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numunenin zarar görmesini önleyecek, numune ile etkileşmeyecek nitelikte olmalıdır.)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DA1F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2-4 kg (En az 2 Birim)</w:t>
            </w:r>
          </w:p>
        </w:tc>
      </w:tr>
      <w:tr w:rsidR="0083310B" w:rsidRPr="0083310B" w14:paraId="0D33D2CE" w14:textId="77777777" w:rsidTr="0083310B">
        <w:trPr>
          <w:trHeight w:val="14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03F2" w14:textId="455352B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(Yaprağı yenen taze sebzeler//</w:t>
            </w:r>
            <w:proofErr w:type="spellStart"/>
            <w:proofErr w:type="gram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Marul,Tere</w:t>
            </w:r>
            <w:proofErr w:type="gram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,Roka,Maydanoz,Ispanak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vb.)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624F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Orijinal ambalaj veya numunenin orijinal formunu etkilemeyecek bir ambalaj olmalı.(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kontaminasyon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numunenin zarar görmesini önleyecek, numune ile etkileşmeyecek nitelikte olmalıdır.)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533C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kg</w:t>
            </w:r>
          </w:p>
        </w:tc>
      </w:tr>
      <w:tr w:rsidR="0083310B" w:rsidRPr="0083310B" w14:paraId="1B8E9FEA" w14:textId="77777777" w:rsidTr="0083310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F08C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D7D1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462B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310B" w:rsidRPr="0083310B" w14:paraId="31F95135" w14:textId="77777777" w:rsidTr="0083310B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81A4" w14:textId="3299BACF" w:rsidR="0083310B" w:rsidRPr="0083310B" w:rsidRDefault="00182A0F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Tablo</w:t>
            </w:r>
            <w:r w:rsidR="0083310B" w:rsidRPr="00833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3BCF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5C3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310B" w:rsidRPr="0083310B" w14:paraId="7F90DE92" w14:textId="77777777" w:rsidTr="0083310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3027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1019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74F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310B" w:rsidRPr="0083310B" w14:paraId="6C345229" w14:textId="77777777" w:rsidTr="0083310B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952D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Numune Özelliği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CF37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Sıcaklık</w:t>
            </w:r>
          </w:p>
        </w:tc>
      </w:tr>
      <w:tr w:rsidR="0083310B" w:rsidRPr="0083310B" w14:paraId="13F37593" w14:textId="77777777" w:rsidTr="0083310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DF4A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Dondurulmuş ürünler (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-18 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0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C’ 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nin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altında muhafaza edilen ürünler)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DF0C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-15 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0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C’ye kadar</w:t>
            </w:r>
          </w:p>
        </w:tc>
      </w:tr>
      <w:tr w:rsidR="0083310B" w:rsidRPr="0083310B" w14:paraId="0EC485E5" w14:textId="77777777" w:rsidTr="0083310B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544D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Soğukta muhafaza edilmesi gereken ürünler (0 </w:t>
            </w:r>
            <w:proofErr w:type="spellStart"/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o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proofErr w:type="spellEnd"/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ile  4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o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proofErr w:type="gramEnd"/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arasında muhafaza edilen ürünler)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0E40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 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0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C’ye kadar</w:t>
            </w:r>
          </w:p>
        </w:tc>
      </w:tr>
      <w:tr w:rsidR="0083310B" w:rsidRPr="0083310B" w14:paraId="60BDD3CE" w14:textId="77777777" w:rsidTr="0083310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5119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Sıcaklık hassasiyeti olmayan ürünler (oda sıcaklığında veya daha yüksek sıcaklıklarda muhafaza edilebilen ürünler)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FAAE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40 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0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C’ye kadar</w:t>
            </w:r>
          </w:p>
        </w:tc>
      </w:tr>
      <w:tr w:rsidR="0083310B" w:rsidRPr="0083310B" w14:paraId="1C6DE72C" w14:textId="77777777" w:rsidTr="0083310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6392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Orijinal ambalajında ısı değeri belirtilen ürünler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BACB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Ambalajda belirtilen değer</w:t>
            </w:r>
          </w:p>
        </w:tc>
      </w:tr>
      <w:tr w:rsidR="0083310B" w:rsidRPr="0083310B" w14:paraId="09A93599" w14:textId="77777777" w:rsidTr="0083310B">
        <w:trPr>
          <w:trHeight w:val="67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F4A4C57" w14:textId="77777777" w:rsidR="0083310B" w:rsidRPr="0083310B" w:rsidRDefault="0083310B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Margarin ve sürülebilir yağlar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205F78C7" w14:textId="77777777" w:rsidR="0083310B" w:rsidRPr="0083310B" w:rsidRDefault="0083310B" w:rsidP="008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331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 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0</w:t>
            </w:r>
            <w:r w:rsidRPr="0083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C’ye kadar</w:t>
            </w:r>
          </w:p>
        </w:tc>
      </w:tr>
    </w:tbl>
    <w:p w14:paraId="088A4624" w14:textId="3BB17A6B" w:rsidR="0083310B" w:rsidRDefault="0083310B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tbl>
      <w:tblPr>
        <w:tblW w:w="1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5740"/>
        <w:gridCol w:w="5740"/>
      </w:tblGrid>
      <w:tr w:rsidR="0015627D" w:rsidRPr="0015627D" w14:paraId="3F116DB9" w14:textId="77777777" w:rsidTr="0015627D">
        <w:trPr>
          <w:trHeight w:val="375"/>
        </w:trPr>
        <w:tc>
          <w:tcPr>
            <w:tcW w:w="1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CDD6" w14:textId="0F96EFF6" w:rsidR="0015627D" w:rsidRPr="0015627D" w:rsidRDefault="00CA7902" w:rsidP="0015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Kurum IBAN </w:t>
            </w:r>
            <w:proofErr w:type="gramStart"/>
            <w:r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         :</w:t>
            </w:r>
            <w:r w:rsidR="0015627D" w:rsidRPr="0015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</w:t>
            </w:r>
            <w:proofErr w:type="gramEnd"/>
            <w:r w:rsidR="0015627D" w:rsidRPr="0015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5627D"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4100 0120 09 6750 0016 0001 21</w:t>
            </w:r>
          </w:p>
        </w:tc>
      </w:tr>
      <w:tr w:rsidR="0015627D" w:rsidRPr="0015627D" w14:paraId="337ADD65" w14:textId="77777777" w:rsidTr="0015627D">
        <w:trPr>
          <w:trHeight w:val="375"/>
        </w:trPr>
        <w:tc>
          <w:tcPr>
            <w:tcW w:w="1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2A1A" w14:textId="578E2418" w:rsidR="0015627D" w:rsidRPr="0015627D" w:rsidRDefault="00CA7902" w:rsidP="0015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Kurum Telefon </w:t>
            </w:r>
            <w:proofErr w:type="gramStart"/>
            <w:r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No      : </w:t>
            </w:r>
            <w:r w:rsidR="0015627D" w:rsidRPr="0015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  <w:r w:rsidR="0015627D" w:rsidRPr="0015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4</w:t>
            </w:r>
            <w:r w:rsidR="0015627D"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88 217 36 85 </w:t>
            </w:r>
          </w:p>
        </w:tc>
      </w:tr>
      <w:tr w:rsidR="0015627D" w:rsidRPr="0015627D" w14:paraId="1E125291" w14:textId="77777777" w:rsidTr="0015627D">
        <w:trPr>
          <w:trHeight w:val="375"/>
        </w:trPr>
        <w:tc>
          <w:tcPr>
            <w:tcW w:w="1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3D24" w14:textId="6B80D5C4" w:rsidR="0015627D" w:rsidRPr="0015627D" w:rsidRDefault="00072C1F" w:rsidP="0015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Kurum </w:t>
            </w:r>
            <w:proofErr w:type="spellStart"/>
            <w:r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e.posta</w:t>
            </w:r>
            <w:proofErr w:type="spellEnd"/>
            <w:r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adresi  : </w:t>
            </w:r>
            <w:hyperlink r:id="rId7" w:history="1">
              <w:r w:rsidRPr="00CA7902">
                <w:rPr>
                  <w:rStyle w:val="Kpr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bugam@batman.edu.tr</w:t>
              </w:r>
            </w:hyperlink>
            <w:r w:rsidRPr="00CA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5627D" w:rsidRPr="0015627D" w14:paraId="2EFAEE64" w14:textId="77777777" w:rsidTr="0015627D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38E7" w14:textId="77777777" w:rsidR="0015627D" w:rsidRPr="0015627D" w:rsidRDefault="0015627D" w:rsidP="0015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C08B" w14:textId="77777777" w:rsidR="0015627D" w:rsidRPr="0015627D" w:rsidRDefault="0015627D" w:rsidP="0015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9167" w14:textId="77777777" w:rsidR="0015627D" w:rsidRPr="0015627D" w:rsidRDefault="0015627D" w:rsidP="0015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2B21C36" w14:textId="25F10615" w:rsidR="0083310B" w:rsidRDefault="0083310B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p w14:paraId="2A830B87" w14:textId="005E00DB" w:rsidR="0083310B" w:rsidRDefault="0083310B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p w14:paraId="315377A0" w14:textId="6A20F317" w:rsidR="0083310B" w:rsidRDefault="0083310B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p w14:paraId="0D1AA9E7" w14:textId="52F4AFA6" w:rsidR="0083310B" w:rsidRDefault="0083310B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p w14:paraId="10035E01" w14:textId="77777777" w:rsidR="0083310B" w:rsidRDefault="0083310B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p w14:paraId="5937B079" w14:textId="155616C9" w:rsidR="00A42F2C" w:rsidRDefault="00A42F2C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p w14:paraId="22B4DB49" w14:textId="77777777" w:rsidR="00DC749E" w:rsidRDefault="00DC749E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sectPr w:rsidR="00DC749E" w:rsidSect="002140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470D"/>
    <w:multiLevelType w:val="multilevel"/>
    <w:tmpl w:val="07E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C0930"/>
    <w:multiLevelType w:val="multilevel"/>
    <w:tmpl w:val="696C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96"/>
    <w:rsid w:val="00072C1F"/>
    <w:rsid w:val="00090796"/>
    <w:rsid w:val="000922AA"/>
    <w:rsid w:val="0015627D"/>
    <w:rsid w:val="00182A0F"/>
    <w:rsid w:val="001C5A3F"/>
    <w:rsid w:val="001E5B3F"/>
    <w:rsid w:val="0021406B"/>
    <w:rsid w:val="00216286"/>
    <w:rsid w:val="002A54C3"/>
    <w:rsid w:val="0035598C"/>
    <w:rsid w:val="005718E2"/>
    <w:rsid w:val="005E52FB"/>
    <w:rsid w:val="006F3F5A"/>
    <w:rsid w:val="0070756D"/>
    <w:rsid w:val="00724221"/>
    <w:rsid w:val="00771A6A"/>
    <w:rsid w:val="0081438F"/>
    <w:rsid w:val="0083310B"/>
    <w:rsid w:val="00852961"/>
    <w:rsid w:val="00854ECB"/>
    <w:rsid w:val="008E00BF"/>
    <w:rsid w:val="00921FBC"/>
    <w:rsid w:val="0096579A"/>
    <w:rsid w:val="00982214"/>
    <w:rsid w:val="009A726B"/>
    <w:rsid w:val="00A12059"/>
    <w:rsid w:val="00A42F2C"/>
    <w:rsid w:val="00A704B3"/>
    <w:rsid w:val="00AA3329"/>
    <w:rsid w:val="00AD5948"/>
    <w:rsid w:val="00B75F24"/>
    <w:rsid w:val="00CA7902"/>
    <w:rsid w:val="00DC749E"/>
    <w:rsid w:val="00DD5502"/>
    <w:rsid w:val="00E05BD4"/>
    <w:rsid w:val="00E24532"/>
    <w:rsid w:val="00EB65C1"/>
    <w:rsid w:val="00F82A66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C603"/>
  <w15:chartTrackingRefBased/>
  <w15:docId w15:val="{037F6BD9-C347-4EEF-8614-D770F723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05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05BD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0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5BD4"/>
    <w:rPr>
      <w:b/>
      <w:bCs/>
    </w:rPr>
  </w:style>
  <w:style w:type="paragraph" w:styleId="ListeParagraf">
    <w:name w:val="List Paragraph"/>
    <w:basedOn w:val="Normal"/>
    <w:uiPriority w:val="34"/>
    <w:qFormat/>
    <w:rsid w:val="002A54C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2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2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A4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C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49E"/>
  </w:style>
  <w:style w:type="character" w:styleId="Kpr">
    <w:name w:val="Hyperlink"/>
    <w:basedOn w:val="VarsaylanParagrafYazTipi"/>
    <w:uiPriority w:val="99"/>
    <w:unhideWhenUsed/>
    <w:rsid w:val="00072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gam@batm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22AB-E6E6-4545-A627-1A22B7F0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TUBA ŞEKER</cp:lastModifiedBy>
  <cp:revision>2</cp:revision>
  <dcterms:created xsi:type="dcterms:W3CDTF">2022-08-11T10:43:00Z</dcterms:created>
  <dcterms:modified xsi:type="dcterms:W3CDTF">2022-08-11T10:43:00Z</dcterms:modified>
</cp:coreProperties>
</file>