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1A" w:rsidRPr="007B651A" w:rsidRDefault="007B651A" w:rsidP="007B651A">
      <w:pPr>
        <w:pStyle w:val="Balk1"/>
        <w:spacing w:line="276" w:lineRule="auto"/>
        <w:ind w:left="2552" w:right="2693"/>
        <w:jc w:val="center"/>
      </w:pPr>
      <w:r w:rsidRPr="007B651A">
        <w:t xml:space="preserve">BATMAN </w:t>
      </w:r>
      <w:r w:rsidRPr="007B651A">
        <w:t>ÜNİVERSİTESİ</w:t>
      </w:r>
    </w:p>
    <w:p w:rsidR="007B651A" w:rsidRPr="007B651A" w:rsidRDefault="007B651A" w:rsidP="007B651A">
      <w:pPr>
        <w:spacing w:line="276" w:lineRule="auto"/>
        <w:ind w:left="1400"/>
        <w:rPr>
          <w:rFonts w:ascii="Times New Roman" w:hAnsi="Times New Roman" w:cs="Times New Roman"/>
          <w:b/>
          <w:sz w:val="24"/>
          <w:szCs w:val="24"/>
        </w:rPr>
      </w:pPr>
      <w:bookmarkStart w:id="0" w:name="_GoBack"/>
      <w:r w:rsidRPr="007B651A">
        <w:rPr>
          <w:rFonts w:ascii="Times New Roman" w:hAnsi="Times New Roman" w:cs="Times New Roman"/>
          <w:b/>
          <w:sz w:val="24"/>
          <w:szCs w:val="24"/>
        </w:rPr>
        <w:t>UZMANLIK ALAN DERSİ AÇMA VE UYGULAMA YÖNERGESİ</w:t>
      </w:r>
    </w:p>
    <w:bookmarkEnd w:id="0"/>
    <w:p w:rsidR="007B651A" w:rsidRPr="007B651A" w:rsidRDefault="007B651A" w:rsidP="007B651A">
      <w:pPr>
        <w:pStyle w:val="GvdeMetni"/>
        <w:tabs>
          <w:tab w:val="left" w:pos="1942"/>
          <w:tab w:val="left" w:pos="4128"/>
          <w:tab w:val="left" w:pos="5119"/>
          <w:tab w:val="left" w:pos="7189"/>
          <w:tab w:val="left" w:pos="8674"/>
        </w:tabs>
        <w:spacing w:line="276" w:lineRule="auto"/>
        <w:ind w:right="105"/>
        <w:rPr>
          <w:b/>
        </w:rPr>
      </w:pPr>
      <w:r w:rsidRPr="007B651A">
        <w:rPr>
          <w:b/>
        </w:rPr>
        <w:t xml:space="preserve">Amaç  </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pPr>
      <w:r w:rsidRPr="007B651A">
        <w:rPr>
          <w:b/>
        </w:rPr>
        <w:t xml:space="preserve">MADDE 1- </w:t>
      </w:r>
      <w:r w:rsidRPr="007B651A">
        <w:t>(1)</w:t>
      </w:r>
      <w:r w:rsidRPr="007B651A">
        <w:rPr>
          <w:b/>
        </w:rPr>
        <w:t xml:space="preserve"> </w:t>
      </w:r>
      <w:r w:rsidRPr="007B651A">
        <w:t xml:space="preserve">Bu </w:t>
      </w:r>
      <w:proofErr w:type="spellStart"/>
      <w:r w:rsidRPr="007B651A">
        <w:t>Yönerge’nin</w:t>
      </w:r>
      <w:proofErr w:type="spellEnd"/>
      <w:r w:rsidRPr="007B651A">
        <w:t xml:space="preserve"> amacı; Batman Üniversitesi Lisansüstü Eğitim Enstitüsünde hazırlanan tezlere ilişkin usul ve esasları düzenlemektir. </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rPr>
          <w:b/>
        </w:rPr>
      </w:pPr>
      <w:r w:rsidRPr="007B651A">
        <w:rPr>
          <w:b/>
        </w:rPr>
        <w:t>Kapsam</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pPr>
      <w:r w:rsidRPr="007B651A">
        <w:rPr>
          <w:b/>
        </w:rPr>
        <w:t xml:space="preserve">MADDE 2- </w:t>
      </w:r>
      <w:r w:rsidRPr="007B651A">
        <w:t>(1)</w:t>
      </w:r>
      <w:r w:rsidRPr="007B651A">
        <w:rPr>
          <w:b/>
        </w:rPr>
        <w:t xml:space="preserve"> </w:t>
      </w:r>
      <w:r w:rsidRPr="007B651A">
        <w:t>Bu Yönerge, Batman Üniversitesi Lisansüstü Eğitim Enstitüsünde hazırlanan tezlere ilişkin hükümleri kapsar.</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rPr>
          <w:b/>
        </w:rPr>
      </w:pPr>
      <w:r w:rsidRPr="007B651A">
        <w:rPr>
          <w:b/>
        </w:rPr>
        <w:t xml:space="preserve">Dayanak </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pPr>
      <w:r w:rsidRPr="007B651A">
        <w:rPr>
          <w:b/>
        </w:rPr>
        <w:t xml:space="preserve">MADDE 3- </w:t>
      </w:r>
      <w:r w:rsidRPr="007B651A">
        <w:t>(1)</w:t>
      </w:r>
      <w:r w:rsidRPr="007B651A">
        <w:rPr>
          <w:b/>
        </w:rPr>
        <w:t xml:space="preserve"> </w:t>
      </w:r>
      <w:r w:rsidRPr="007B651A">
        <w:t xml:space="preserve">Bu Yönerge, 05/08/2021 tarih ve 31558 sayılı Resmî </w:t>
      </w:r>
      <w:proofErr w:type="spellStart"/>
      <w:r w:rsidRPr="007B651A">
        <w:t>Gazete'de</w:t>
      </w:r>
      <w:proofErr w:type="spellEnd"/>
      <w:r w:rsidRPr="007B651A">
        <w:t xml:space="preserve"> yayımlanan Batman Üniversitesi Lisansüstü Eğitim-Öğretim ve Sınav Yönetmeliği esas alınarak hazırlanmıştır.</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rPr>
          <w:b/>
        </w:rPr>
      </w:pPr>
      <w:r w:rsidRPr="007B651A">
        <w:rPr>
          <w:b/>
        </w:rPr>
        <w:t>Uzmanlık Alan Dersi Açma ve Uygulama Esasları</w:t>
      </w:r>
    </w:p>
    <w:p w:rsidR="007B651A" w:rsidRPr="007B651A" w:rsidRDefault="007B651A" w:rsidP="007B651A">
      <w:pPr>
        <w:pStyle w:val="GvdeMetni"/>
        <w:tabs>
          <w:tab w:val="left" w:pos="1942"/>
          <w:tab w:val="left" w:pos="4128"/>
          <w:tab w:val="left" w:pos="5119"/>
          <w:tab w:val="left" w:pos="7189"/>
          <w:tab w:val="left" w:pos="8674"/>
        </w:tabs>
        <w:spacing w:line="276" w:lineRule="auto"/>
        <w:ind w:right="105"/>
      </w:pPr>
      <w:r w:rsidRPr="007B651A">
        <w:rPr>
          <w:b/>
        </w:rPr>
        <w:t xml:space="preserve">MADDE 4 – </w:t>
      </w:r>
      <w:r w:rsidRPr="007B651A">
        <w:t>(1)</w:t>
      </w:r>
      <w:r w:rsidRPr="007B651A">
        <w:rPr>
          <w:b/>
        </w:rPr>
        <w:t xml:space="preserve"> </w:t>
      </w:r>
      <w:r w:rsidRPr="007B651A">
        <w:t xml:space="preserve">Uzmanlık alan dersi; yüksek lisans ve doktora eğitimine başlamış öğrencilere; danışman öğretim üyesinin çalıştığı bilimsel alandaki bilgi, görgü ve deneyimlerinin aktarılması, öğrencilere bilimsel etik ve çalışma disiplininin, güncel </w:t>
      </w:r>
      <w:proofErr w:type="gramStart"/>
      <w:r w:rsidRPr="007B651A">
        <w:t>literatürü</w:t>
      </w:r>
      <w:proofErr w:type="gramEnd"/>
      <w:r w:rsidRPr="007B651A">
        <w:t xml:space="preserve"> izleyebilme ve değerlendirebilme yeteneğinin kazandırılması, tez çalışmalarının bilimsel temellerinin oluşturulması ve yürütülmesi için uygulanacak olan teorik ve kredisiz bir derstir. Uzmanlık alan dersi lisansüstü öğrencisinin, bilgi, beceri ve bilimsel tutum kazanmasını sağlar. Bu ders öğrencinin aldığı lisansüstü programdaki zorunlu ve seçmeli ders konularının içeriğinden farklı olan bir</w:t>
      </w:r>
      <w:r w:rsidRPr="007B651A">
        <w:rPr>
          <w:spacing w:val="-9"/>
        </w:rPr>
        <w:t xml:space="preserve"> </w:t>
      </w:r>
      <w:r w:rsidRPr="007B651A">
        <w:t>derstir.</w:t>
      </w:r>
    </w:p>
    <w:p w:rsidR="007B651A" w:rsidRPr="007B651A" w:rsidRDefault="007B651A" w:rsidP="007B651A">
      <w:pPr>
        <w:pStyle w:val="GvdeMetni"/>
        <w:spacing w:line="276" w:lineRule="auto"/>
        <w:ind w:right="104"/>
      </w:pPr>
      <w:r w:rsidRPr="007B651A">
        <w:rPr>
          <w:b/>
        </w:rPr>
        <w:t xml:space="preserve">MADDE 5 – </w:t>
      </w:r>
      <w:r w:rsidRPr="007B651A">
        <w:t>(1)</w:t>
      </w:r>
      <w:r w:rsidRPr="007B651A">
        <w:rPr>
          <w:b/>
        </w:rPr>
        <w:t xml:space="preserve"> </w:t>
      </w:r>
      <w:r w:rsidRPr="007B651A">
        <w:t xml:space="preserve">Uzmanlık alan dersi tezli lisansüstü eğitimde danışman atandığı tarihten itibaren başlar ve öğrencinin mezuniyetine ya da ilişiğinin kesildiği enstitü yönetim kurulu karar tarihine kadar devam eder. Uzmanlık alan dersi güz yarıyılında kaydolan öğrenciler için bahar yarıyılı başlangıcına kadar, bahar yarıyılında kaydolan öğrenciler için güz yarıyılı başlangıcına kadar yarıyıl ve yaz tatillerini de kapsayacak şekilde devam eder. Uzmanlık alan dersi tezin kabul veya reddedildiği </w:t>
      </w:r>
      <w:proofErr w:type="gramStart"/>
      <w:r w:rsidRPr="007B651A">
        <w:t>yıl sonuna</w:t>
      </w:r>
      <w:proofErr w:type="gramEnd"/>
      <w:r w:rsidRPr="007B651A">
        <w:t xml:space="preserve"> kadar enstitü akademik takvimi süresince her yarıyıl açılır.</w:t>
      </w:r>
    </w:p>
    <w:p w:rsidR="007B651A" w:rsidRPr="007B651A" w:rsidRDefault="007B651A" w:rsidP="007B651A">
      <w:pPr>
        <w:pStyle w:val="GvdeMetni"/>
        <w:spacing w:line="276" w:lineRule="auto"/>
        <w:ind w:left="963" w:firstLine="0"/>
        <w:jc w:val="left"/>
      </w:pPr>
      <w:r w:rsidRPr="007B651A">
        <w:rPr>
          <w:b/>
        </w:rPr>
        <w:t xml:space="preserve">MADDE 6 – </w:t>
      </w:r>
      <w:r w:rsidRPr="007B651A">
        <w:t>(1) Uzmanlık alan dersi danışmanın tüm lisansüstü öğrencileri tarafından alınır.</w:t>
      </w:r>
    </w:p>
    <w:p w:rsidR="007B651A" w:rsidRPr="007B651A" w:rsidRDefault="007B651A" w:rsidP="007B651A">
      <w:pPr>
        <w:pStyle w:val="GvdeMetni"/>
        <w:spacing w:line="276" w:lineRule="auto"/>
        <w:ind w:right="107" w:firstLine="0"/>
      </w:pPr>
      <w:r w:rsidRPr="007B651A">
        <w:t xml:space="preserve">Uzmanlık alan dersi öğrenci sayısına bakılmaksızın, en fazla sekiz saat olarak ücretlendirilir. </w:t>
      </w:r>
    </w:p>
    <w:p w:rsidR="007B651A" w:rsidRPr="007B651A" w:rsidRDefault="007B651A" w:rsidP="007B651A">
      <w:pPr>
        <w:pStyle w:val="ListeParagraf"/>
        <w:tabs>
          <w:tab w:val="left" w:pos="1230"/>
        </w:tabs>
        <w:spacing w:line="276" w:lineRule="auto"/>
        <w:ind w:right="102"/>
        <w:rPr>
          <w:sz w:val="24"/>
          <w:szCs w:val="24"/>
        </w:rPr>
      </w:pPr>
      <w:r w:rsidRPr="007B651A">
        <w:rPr>
          <w:sz w:val="24"/>
          <w:szCs w:val="24"/>
        </w:rPr>
        <w:t xml:space="preserve">(2) Öğrenci uzmanlık alan dersini almak ve devam şartını sağlamak zorundadır. Uzmanlık alan dersi öğrencinin ders yükü kredisinden sayılmaz. Danışman dersi alan öğrencinin durumunu değerlendirerek bir sonraki dönem başlamadan Başarılı (BL) veya Başarısız (BZ) şeklinde değerlendirme tutanağı anabilim dalı başkanlığı aracılığı ile enstitüye bildirir. Uzmanlık alan dersi sınav yüküne dâhil değildir. </w:t>
      </w:r>
    </w:p>
    <w:p w:rsidR="007B651A" w:rsidRPr="007B651A" w:rsidRDefault="007B651A" w:rsidP="007B651A">
      <w:pPr>
        <w:pStyle w:val="GvdeMetni"/>
        <w:spacing w:line="276" w:lineRule="auto"/>
        <w:ind w:right="108"/>
      </w:pPr>
      <w:r w:rsidRPr="007B651A">
        <w:t>(3) Uzmanlık alan dersi haftalık ders dağılımı, ders yükü ve ücrete esas ders saati cetvelinde gösterilir. Bu dersin yaz döneminde de devam edileceği göz önüne alındığında danışmanların yıllık izinli ve raporlu olduğu dönemlerde ücretlendirme yapılmaz.</w:t>
      </w:r>
    </w:p>
    <w:p w:rsidR="007B651A" w:rsidRPr="007B651A" w:rsidRDefault="007B651A" w:rsidP="007B651A">
      <w:pPr>
        <w:tabs>
          <w:tab w:val="left" w:pos="1225"/>
        </w:tabs>
        <w:spacing w:line="276" w:lineRule="auto"/>
        <w:ind w:left="111"/>
        <w:jc w:val="both"/>
        <w:rPr>
          <w:sz w:val="24"/>
          <w:szCs w:val="24"/>
        </w:rPr>
      </w:pPr>
      <w:r w:rsidRPr="007B651A">
        <w:rPr>
          <w:sz w:val="24"/>
          <w:szCs w:val="24"/>
        </w:rPr>
        <w:t xml:space="preserve">             (4) Danışmanı Batman Üniversitesi dışında olan öğrencilere uzmanlık alan dersi açılabilmesi için, danışmanın Batman Üniversitesi’nde akademik ve idari görevli veya ilgili dönemde lisans/lisansüstü dersleri için görevlendirilmiş olması gerekmektedir.</w:t>
      </w:r>
    </w:p>
    <w:p w:rsidR="007B651A" w:rsidRPr="007B651A" w:rsidRDefault="007B651A" w:rsidP="007B651A">
      <w:pPr>
        <w:tabs>
          <w:tab w:val="left" w:pos="1233"/>
        </w:tabs>
        <w:spacing w:line="276" w:lineRule="auto"/>
        <w:ind w:left="111" w:right="105"/>
        <w:jc w:val="both"/>
        <w:rPr>
          <w:sz w:val="24"/>
          <w:szCs w:val="24"/>
        </w:rPr>
      </w:pPr>
      <w:r w:rsidRPr="007B651A">
        <w:rPr>
          <w:sz w:val="24"/>
          <w:szCs w:val="24"/>
        </w:rPr>
        <w:lastRenderedPageBreak/>
        <w:t xml:space="preserve">             (5) Danışmanı birden fazla enstitü ve/veya anabilim dalında görevli ise yalnız bir anabilim dalında uzmanlık alan dersi açabilir. Çift danışmanlık olması durumunda uzmanlık alan dersi birinci danışman tarafından</w:t>
      </w:r>
      <w:r w:rsidRPr="007B651A">
        <w:rPr>
          <w:spacing w:val="-1"/>
          <w:sz w:val="24"/>
          <w:szCs w:val="24"/>
        </w:rPr>
        <w:t xml:space="preserve"> </w:t>
      </w:r>
      <w:r w:rsidRPr="007B651A">
        <w:rPr>
          <w:sz w:val="24"/>
          <w:szCs w:val="24"/>
        </w:rPr>
        <w:t>açılır.</w:t>
      </w:r>
    </w:p>
    <w:p w:rsidR="007B651A" w:rsidRPr="007B651A" w:rsidRDefault="007B651A" w:rsidP="007B651A">
      <w:pPr>
        <w:pStyle w:val="Balk1"/>
        <w:spacing w:line="276" w:lineRule="auto"/>
      </w:pPr>
      <w:r w:rsidRPr="007B651A">
        <w:t>Kabul ve Yürürlük</w:t>
      </w:r>
    </w:p>
    <w:p w:rsidR="007B651A" w:rsidRPr="007B651A" w:rsidRDefault="007B651A" w:rsidP="007B651A">
      <w:pPr>
        <w:spacing w:line="276" w:lineRule="auto"/>
        <w:ind w:firstLine="708"/>
        <w:jc w:val="both"/>
        <w:rPr>
          <w:sz w:val="24"/>
          <w:szCs w:val="24"/>
        </w:rPr>
      </w:pPr>
      <w:r w:rsidRPr="007B651A">
        <w:rPr>
          <w:b/>
          <w:sz w:val="24"/>
          <w:szCs w:val="24"/>
        </w:rPr>
        <w:t xml:space="preserve">    MADDE 7 – </w:t>
      </w:r>
      <w:r w:rsidRPr="007B651A">
        <w:rPr>
          <w:sz w:val="24"/>
          <w:szCs w:val="24"/>
        </w:rPr>
        <w:t>(1)</w:t>
      </w:r>
      <w:r w:rsidRPr="007B651A">
        <w:rPr>
          <w:b/>
          <w:sz w:val="24"/>
          <w:szCs w:val="24"/>
        </w:rPr>
        <w:t xml:space="preserve"> </w:t>
      </w:r>
      <w:r w:rsidRPr="007B651A">
        <w:rPr>
          <w:sz w:val="24"/>
          <w:szCs w:val="24"/>
        </w:rPr>
        <w:t xml:space="preserve">Bu yönerge Senatoda kabul edildiği tarih itibariyle yürürlüğe girer. </w:t>
      </w:r>
    </w:p>
    <w:p w:rsidR="007B651A" w:rsidRPr="007B651A" w:rsidRDefault="007B651A" w:rsidP="007B651A">
      <w:pPr>
        <w:pStyle w:val="GvdeMetni"/>
        <w:spacing w:line="276" w:lineRule="auto"/>
        <w:ind w:left="963" w:firstLine="0"/>
        <w:jc w:val="left"/>
      </w:pPr>
      <w:r w:rsidRPr="007B651A">
        <w:rPr>
          <w:b/>
        </w:rPr>
        <w:t xml:space="preserve">MADDE 8 – </w:t>
      </w:r>
      <w:r w:rsidRPr="007B651A">
        <w:t>(1)</w:t>
      </w:r>
      <w:r w:rsidRPr="007B651A">
        <w:rPr>
          <w:b/>
        </w:rPr>
        <w:t xml:space="preserve"> </w:t>
      </w:r>
      <w:r w:rsidRPr="007B651A">
        <w:t>Bu Yönerge hükümlerini Batman Üniversitesi Rektörü yürütür.</w:t>
      </w:r>
    </w:p>
    <w:p w:rsidR="007B651A" w:rsidRPr="007B651A" w:rsidRDefault="007B651A" w:rsidP="007B651A">
      <w:pPr>
        <w:pStyle w:val="GvdeMetni"/>
        <w:spacing w:line="276" w:lineRule="auto"/>
        <w:ind w:left="963" w:firstLine="0"/>
        <w:jc w:val="left"/>
      </w:pPr>
    </w:p>
    <w:tbl>
      <w:tblPr>
        <w:tblW w:w="8588" w:type="dxa"/>
        <w:jc w:val="center"/>
        <w:tblLayout w:type="fixed"/>
        <w:tblCellMar>
          <w:left w:w="0" w:type="dxa"/>
          <w:right w:w="0" w:type="dxa"/>
        </w:tblCellMar>
        <w:tblLook w:val="04A0" w:firstRow="1" w:lastRow="0" w:firstColumn="1" w:lastColumn="0" w:noHBand="0" w:noVBand="1"/>
      </w:tblPr>
      <w:tblGrid>
        <w:gridCol w:w="4337"/>
        <w:gridCol w:w="4251"/>
      </w:tblGrid>
      <w:tr w:rsidR="007B651A" w:rsidRPr="007B651A" w:rsidTr="002D1741">
        <w:trPr>
          <w:jc w:val="center"/>
        </w:trPr>
        <w:tc>
          <w:tcPr>
            <w:tcW w:w="858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sz w:val="24"/>
                <w:szCs w:val="24"/>
                <w:lang w:val="en-US"/>
              </w:rPr>
            </w:pPr>
            <w:proofErr w:type="spellStart"/>
            <w:r w:rsidRPr="007B651A">
              <w:rPr>
                <w:b/>
                <w:bCs/>
                <w:sz w:val="24"/>
                <w:szCs w:val="24"/>
                <w:lang w:val="en-US"/>
              </w:rPr>
              <w:t>Yönergenin</w:t>
            </w:r>
            <w:proofErr w:type="spellEnd"/>
            <w:r w:rsidRPr="007B651A">
              <w:rPr>
                <w:b/>
                <w:bCs/>
                <w:sz w:val="24"/>
                <w:szCs w:val="24"/>
                <w:lang w:val="en-US"/>
              </w:rPr>
              <w:t xml:space="preserve"> Kabul </w:t>
            </w:r>
            <w:proofErr w:type="spellStart"/>
            <w:r w:rsidRPr="007B651A">
              <w:rPr>
                <w:b/>
                <w:bCs/>
                <w:sz w:val="24"/>
                <w:szCs w:val="24"/>
                <w:lang w:val="en-US"/>
              </w:rPr>
              <w:t>edildiği</w:t>
            </w:r>
            <w:proofErr w:type="spellEnd"/>
            <w:r w:rsidRPr="007B651A">
              <w:rPr>
                <w:b/>
                <w:bCs/>
                <w:sz w:val="24"/>
                <w:szCs w:val="24"/>
                <w:lang w:val="en-US"/>
              </w:rPr>
              <w:t xml:space="preserve"> </w:t>
            </w:r>
            <w:proofErr w:type="spellStart"/>
            <w:r w:rsidRPr="007B651A">
              <w:rPr>
                <w:b/>
                <w:bCs/>
                <w:sz w:val="24"/>
                <w:szCs w:val="24"/>
                <w:lang w:val="en-US"/>
              </w:rPr>
              <w:t>Senato’nun</w:t>
            </w:r>
            <w:proofErr w:type="spellEnd"/>
          </w:p>
        </w:tc>
      </w:tr>
      <w:tr w:rsidR="007B651A" w:rsidRPr="007B651A" w:rsidTr="002D1741">
        <w:trPr>
          <w:jc w:val="center"/>
        </w:trPr>
        <w:tc>
          <w:tcPr>
            <w:tcW w:w="4337" w:type="dxa"/>
            <w:tcBorders>
              <w:top w:val="nil"/>
              <w:left w:val="single" w:sz="8" w:space="0" w:color="auto"/>
              <w:bottom w:val="single" w:sz="8" w:space="0" w:color="auto"/>
              <w:right w:val="nil"/>
            </w:tcBorders>
            <w:tcMar>
              <w:top w:w="0" w:type="dxa"/>
              <w:left w:w="108" w:type="dxa"/>
              <w:bottom w:w="0" w:type="dxa"/>
              <w:right w:w="108" w:type="dxa"/>
            </w:tcMar>
          </w:tcPr>
          <w:p w:rsidR="007B651A" w:rsidRPr="007B651A" w:rsidRDefault="007B651A" w:rsidP="002D1741">
            <w:pPr>
              <w:spacing w:before="100" w:beforeAutospacing="1" w:after="100" w:afterAutospacing="1" w:line="240" w:lineRule="atLeast"/>
              <w:jc w:val="center"/>
              <w:rPr>
                <w:sz w:val="24"/>
                <w:szCs w:val="24"/>
                <w:lang w:val="en-US"/>
              </w:rPr>
            </w:pP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7B651A" w:rsidRPr="007B651A" w:rsidRDefault="007B651A" w:rsidP="002D1741">
            <w:pPr>
              <w:spacing w:before="100" w:beforeAutospacing="1" w:after="100" w:afterAutospacing="1" w:line="240" w:lineRule="atLeast"/>
              <w:jc w:val="center"/>
              <w:rPr>
                <w:sz w:val="24"/>
                <w:szCs w:val="24"/>
                <w:lang w:val="en-US"/>
              </w:rPr>
            </w:pPr>
          </w:p>
        </w:tc>
      </w:tr>
      <w:tr w:rsidR="007B651A" w:rsidRPr="007B651A" w:rsidTr="002D1741">
        <w:trPr>
          <w:jc w:val="center"/>
        </w:trPr>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51A" w:rsidRPr="007B651A" w:rsidRDefault="007B651A" w:rsidP="002D1741">
            <w:pPr>
              <w:spacing w:before="100" w:beforeAutospacing="1" w:after="100" w:afterAutospacing="1" w:line="240" w:lineRule="atLeast"/>
              <w:jc w:val="center"/>
              <w:rPr>
                <w:bCs/>
                <w:sz w:val="24"/>
                <w:szCs w:val="24"/>
                <w:lang w:val="en-US"/>
              </w:rPr>
            </w:pP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7B651A" w:rsidRPr="007B651A" w:rsidRDefault="007B651A" w:rsidP="002D1741">
            <w:pPr>
              <w:spacing w:before="100" w:beforeAutospacing="1" w:after="100" w:afterAutospacing="1" w:line="240" w:lineRule="atLeast"/>
              <w:jc w:val="center"/>
              <w:rPr>
                <w:bCs/>
                <w:sz w:val="24"/>
                <w:szCs w:val="24"/>
                <w:lang w:val="en-US"/>
              </w:rPr>
            </w:pPr>
          </w:p>
        </w:tc>
      </w:tr>
      <w:tr w:rsidR="007B651A" w:rsidRPr="007B651A" w:rsidTr="002D1741">
        <w:trPr>
          <w:jc w:val="center"/>
        </w:trPr>
        <w:tc>
          <w:tcPr>
            <w:tcW w:w="8588"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sz w:val="24"/>
                <w:szCs w:val="24"/>
                <w:lang w:val="en-US"/>
              </w:rPr>
            </w:pPr>
            <w:proofErr w:type="spellStart"/>
            <w:r w:rsidRPr="007B651A">
              <w:rPr>
                <w:b/>
                <w:bCs/>
                <w:sz w:val="24"/>
                <w:szCs w:val="24"/>
                <w:lang w:val="en-US"/>
              </w:rPr>
              <w:t>Yönergede</w:t>
            </w:r>
            <w:proofErr w:type="spellEnd"/>
            <w:r w:rsidRPr="007B651A">
              <w:rPr>
                <w:b/>
                <w:bCs/>
                <w:sz w:val="24"/>
                <w:szCs w:val="24"/>
                <w:lang w:val="en-US"/>
              </w:rPr>
              <w:t xml:space="preserve"> </w:t>
            </w:r>
            <w:proofErr w:type="spellStart"/>
            <w:r w:rsidRPr="007B651A">
              <w:rPr>
                <w:b/>
                <w:bCs/>
                <w:sz w:val="24"/>
                <w:szCs w:val="24"/>
                <w:lang w:val="en-US"/>
              </w:rPr>
              <w:t>Değişiklik</w:t>
            </w:r>
            <w:proofErr w:type="spellEnd"/>
            <w:r w:rsidRPr="007B651A">
              <w:rPr>
                <w:b/>
                <w:bCs/>
                <w:sz w:val="24"/>
                <w:szCs w:val="24"/>
                <w:lang w:val="en-US"/>
              </w:rPr>
              <w:t xml:space="preserve"> </w:t>
            </w:r>
            <w:proofErr w:type="spellStart"/>
            <w:r w:rsidRPr="007B651A">
              <w:rPr>
                <w:b/>
                <w:bCs/>
                <w:sz w:val="24"/>
                <w:szCs w:val="24"/>
                <w:lang w:val="en-US"/>
              </w:rPr>
              <w:t>Yapılan</w:t>
            </w:r>
            <w:proofErr w:type="spellEnd"/>
            <w:r w:rsidRPr="007B651A">
              <w:rPr>
                <w:b/>
                <w:bCs/>
                <w:sz w:val="24"/>
                <w:szCs w:val="24"/>
                <w:lang w:val="en-US"/>
              </w:rPr>
              <w:t xml:space="preserve"> </w:t>
            </w:r>
            <w:proofErr w:type="spellStart"/>
            <w:r w:rsidRPr="007B651A">
              <w:rPr>
                <w:b/>
                <w:bCs/>
                <w:sz w:val="24"/>
                <w:szCs w:val="24"/>
                <w:lang w:val="en-US"/>
              </w:rPr>
              <w:t>Senato’nun</w:t>
            </w:r>
            <w:proofErr w:type="spellEnd"/>
          </w:p>
        </w:tc>
      </w:tr>
      <w:tr w:rsidR="007B651A" w:rsidRPr="007B651A" w:rsidTr="007B651A">
        <w:trPr>
          <w:jc w:val="center"/>
        </w:trPr>
        <w:tc>
          <w:tcPr>
            <w:tcW w:w="4337"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sz w:val="24"/>
                <w:szCs w:val="24"/>
                <w:lang w:val="en-US"/>
              </w:rPr>
            </w:pPr>
            <w:proofErr w:type="spellStart"/>
            <w:r w:rsidRPr="007B651A">
              <w:rPr>
                <w:b/>
                <w:bCs/>
                <w:sz w:val="24"/>
                <w:szCs w:val="24"/>
                <w:lang w:val="en-US"/>
              </w:rPr>
              <w:t>Tarihi</w:t>
            </w:r>
            <w:proofErr w:type="spellEnd"/>
          </w:p>
        </w:tc>
        <w:tc>
          <w:tcPr>
            <w:tcW w:w="425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b/>
                <w:bCs/>
                <w:sz w:val="24"/>
                <w:szCs w:val="24"/>
                <w:lang w:val="en-US"/>
              </w:rPr>
            </w:pPr>
            <w:proofErr w:type="spellStart"/>
            <w:r w:rsidRPr="007B651A">
              <w:rPr>
                <w:b/>
                <w:bCs/>
                <w:sz w:val="24"/>
                <w:szCs w:val="24"/>
                <w:lang w:val="en-US"/>
              </w:rPr>
              <w:t>Sayısı</w:t>
            </w:r>
            <w:proofErr w:type="spellEnd"/>
          </w:p>
        </w:tc>
      </w:tr>
      <w:tr w:rsidR="007B651A" w:rsidRPr="007B651A" w:rsidTr="007B651A">
        <w:trPr>
          <w:jc w:val="center"/>
        </w:trPr>
        <w:tc>
          <w:tcPr>
            <w:tcW w:w="4337"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b/>
                <w:bCs/>
                <w:sz w:val="24"/>
                <w:szCs w:val="24"/>
                <w:lang w:val="en-US"/>
              </w:rPr>
            </w:pPr>
          </w:p>
        </w:tc>
        <w:tc>
          <w:tcPr>
            <w:tcW w:w="425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7B651A" w:rsidRPr="007B651A" w:rsidRDefault="007B651A" w:rsidP="002D1741">
            <w:pPr>
              <w:spacing w:before="100" w:beforeAutospacing="1" w:after="100" w:afterAutospacing="1" w:line="240" w:lineRule="atLeast"/>
              <w:jc w:val="center"/>
              <w:rPr>
                <w:b/>
                <w:bCs/>
                <w:sz w:val="24"/>
                <w:szCs w:val="24"/>
                <w:lang w:val="en-US"/>
              </w:rPr>
            </w:pPr>
          </w:p>
        </w:tc>
      </w:tr>
    </w:tbl>
    <w:p w:rsidR="007B651A" w:rsidRPr="007B651A" w:rsidRDefault="007B651A" w:rsidP="007B651A">
      <w:pPr>
        <w:spacing w:before="100" w:beforeAutospacing="1" w:after="100" w:afterAutospacing="1" w:line="240" w:lineRule="atLeast"/>
        <w:rPr>
          <w:bCs/>
          <w:sz w:val="24"/>
          <w:szCs w:val="24"/>
          <w:lang w:val="en-US"/>
        </w:rPr>
      </w:pPr>
    </w:p>
    <w:p w:rsidR="007B651A" w:rsidRPr="007B651A" w:rsidRDefault="007B651A" w:rsidP="007B651A">
      <w:pPr>
        <w:spacing w:before="100" w:beforeAutospacing="1" w:after="100" w:afterAutospacing="1" w:line="240" w:lineRule="atLeast"/>
        <w:jc w:val="center"/>
        <w:rPr>
          <w:bCs/>
          <w:sz w:val="24"/>
          <w:szCs w:val="24"/>
          <w:lang w:val="en-US"/>
        </w:rPr>
      </w:pPr>
    </w:p>
    <w:p w:rsidR="00382643" w:rsidRPr="007B651A" w:rsidRDefault="00382643">
      <w:pPr>
        <w:rPr>
          <w:sz w:val="24"/>
          <w:szCs w:val="24"/>
        </w:rPr>
      </w:pPr>
    </w:p>
    <w:sectPr w:rsidR="00382643" w:rsidRPr="007B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1A"/>
    <w:rsid w:val="00382643"/>
    <w:rsid w:val="007B6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CE96"/>
  <w15:chartTrackingRefBased/>
  <w15:docId w15:val="{E02E5457-27F9-42D0-B6EE-59ABF2BD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B651A"/>
    <w:pPr>
      <w:widowControl w:val="0"/>
      <w:autoSpaceDE w:val="0"/>
      <w:autoSpaceDN w:val="0"/>
      <w:spacing w:after="0" w:line="240" w:lineRule="auto"/>
      <w:ind w:left="963"/>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B651A"/>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7B651A"/>
    <w:pPr>
      <w:widowControl w:val="0"/>
      <w:autoSpaceDE w:val="0"/>
      <w:autoSpaceDN w:val="0"/>
      <w:spacing w:after="0" w:line="240" w:lineRule="auto"/>
      <w:ind w:left="111" w:firstLine="852"/>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7B651A"/>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7B651A"/>
    <w:pPr>
      <w:widowControl w:val="0"/>
      <w:autoSpaceDE w:val="0"/>
      <w:autoSpaceDN w:val="0"/>
      <w:spacing w:after="0" w:line="240" w:lineRule="auto"/>
      <w:ind w:left="111" w:right="104" w:firstLine="852"/>
      <w:jc w:val="both"/>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Tiyrek</dc:creator>
  <cp:keywords/>
  <dc:description/>
  <cp:lastModifiedBy>Sedat Tiyrek</cp:lastModifiedBy>
  <cp:revision>1</cp:revision>
  <dcterms:created xsi:type="dcterms:W3CDTF">2021-09-03T08:06:00Z</dcterms:created>
  <dcterms:modified xsi:type="dcterms:W3CDTF">2021-09-03T08:09:00Z</dcterms:modified>
</cp:coreProperties>
</file>