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0C" w:rsidRPr="001B42FB" w:rsidRDefault="00E6230C" w:rsidP="00E6230C">
      <w:pPr>
        <w:pStyle w:val="Balk1"/>
        <w:spacing w:before="74"/>
        <w:ind w:left="2086" w:right="2076" w:firstLine="1140"/>
      </w:pPr>
      <w:bookmarkStart w:id="0" w:name="_GoBack"/>
      <w:r w:rsidRPr="001B42FB">
        <w:t>BATMAN ÜNİVERSİTESİ LİSANSÜSTÜ TEZ HAZIRLAMA YÖNERGESİ</w:t>
      </w:r>
      <w:bookmarkEnd w:id="0"/>
    </w:p>
    <w:p w:rsidR="00E6230C" w:rsidRPr="001B42FB" w:rsidRDefault="00E6230C" w:rsidP="00E6230C">
      <w:pPr>
        <w:pStyle w:val="GvdeMetni"/>
        <w:spacing w:before="3"/>
        <w:ind w:left="0" w:firstLine="0"/>
        <w:jc w:val="left"/>
        <w:rPr>
          <w:b/>
        </w:rPr>
      </w:pPr>
    </w:p>
    <w:p w:rsidR="00E6230C" w:rsidRPr="001B42FB" w:rsidRDefault="00E6230C" w:rsidP="00E6230C">
      <w:pPr>
        <w:ind w:left="824"/>
        <w:rPr>
          <w:b/>
          <w:sz w:val="24"/>
        </w:rPr>
      </w:pPr>
      <w:r w:rsidRPr="001B42FB">
        <w:rPr>
          <w:b/>
          <w:sz w:val="24"/>
        </w:rPr>
        <w:t>Amaç</w:t>
      </w:r>
    </w:p>
    <w:p w:rsidR="00E6230C" w:rsidRPr="001B42FB" w:rsidRDefault="00E6230C" w:rsidP="00E6230C">
      <w:pPr>
        <w:pStyle w:val="GvdeMetni"/>
        <w:spacing w:before="38" w:line="276" w:lineRule="auto"/>
        <w:jc w:val="left"/>
      </w:pPr>
      <w:r w:rsidRPr="001B42FB">
        <w:rPr>
          <w:b/>
        </w:rPr>
        <w:t xml:space="preserve">MADDE 1- </w:t>
      </w:r>
      <w:r w:rsidRPr="001B42FB">
        <w:t xml:space="preserve">(1) Bu </w:t>
      </w:r>
      <w:proofErr w:type="spellStart"/>
      <w:r w:rsidRPr="001B42FB">
        <w:t>Yönerge’nin</w:t>
      </w:r>
      <w:proofErr w:type="spellEnd"/>
      <w:r w:rsidRPr="001B42FB">
        <w:t xml:space="preserve"> amacı; Batman Üniversitesine bağlı Lisansüstü Eğitim Enstitüsünde hazırlanan tezlere ilişkin usul ve esasları düzenlemektir.</w:t>
      </w:r>
    </w:p>
    <w:p w:rsidR="00E6230C" w:rsidRPr="001B42FB" w:rsidRDefault="00E6230C" w:rsidP="00E6230C">
      <w:pPr>
        <w:pStyle w:val="Balk1"/>
        <w:spacing w:before="4"/>
      </w:pPr>
      <w:r w:rsidRPr="001B42FB">
        <w:t>Kapsam</w:t>
      </w:r>
    </w:p>
    <w:p w:rsidR="00E6230C" w:rsidRPr="001B42FB" w:rsidRDefault="00E6230C" w:rsidP="00E6230C">
      <w:pPr>
        <w:pStyle w:val="GvdeMetni"/>
        <w:spacing w:before="36" w:line="278" w:lineRule="auto"/>
        <w:jc w:val="left"/>
      </w:pPr>
      <w:r w:rsidRPr="001B42FB">
        <w:rPr>
          <w:b/>
        </w:rPr>
        <w:t xml:space="preserve">MADDE 2- </w:t>
      </w:r>
      <w:r w:rsidRPr="001B42FB">
        <w:t xml:space="preserve">(1) Bu Yönerge, </w:t>
      </w:r>
      <w:r w:rsidR="00222586" w:rsidRPr="001B42FB">
        <w:t>Batman Üniversitesi</w:t>
      </w:r>
      <w:r w:rsidRPr="001B42FB">
        <w:t>ne bağlı Batman Üniversitesine bağlı Lisansüstü Eğitim Enstitüsünde hazırlanan tezlere ilişkin hükümleri kapsar.</w:t>
      </w:r>
    </w:p>
    <w:p w:rsidR="00E6230C" w:rsidRPr="001B42FB" w:rsidRDefault="00E6230C" w:rsidP="00E6230C">
      <w:pPr>
        <w:pStyle w:val="Balk1"/>
      </w:pPr>
      <w:r w:rsidRPr="001B42FB">
        <w:t>Dayanak</w:t>
      </w:r>
    </w:p>
    <w:p w:rsidR="00E6230C" w:rsidRPr="001B42FB" w:rsidRDefault="00E6230C" w:rsidP="00E6230C">
      <w:pPr>
        <w:spacing w:before="36" w:line="276" w:lineRule="auto"/>
        <w:ind w:left="116" w:right="112" w:firstLine="707"/>
        <w:jc w:val="both"/>
        <w:rPr>
          <w:sz w:val="24"/>
        </w:rPr>
      </w:pPr>
      <w:r w:rsidRPr="001B42FB">
        <w:rPr>
          <w:b/>
          <w:sz w:val="24"/>
        </w:rPr>
        <w:t xml:space="preserve">MADDE 3- </w:t>
      </w:r>
      <w:r w:rsidRPr="001B42FB">
        <w:rPr>
          <w:sz w:val="24"/>
        </w:rPr>
        <w:t xml:space="preserve">(1) Bu Yönerge, 04.08.2021 tarih ve 31558 sayılı Resmî </w:t>
      </w:r>
      <w:proofErr w:type="spellStart"/>
      <w:r w:rsidRPr="001B42FB">
        <w:rPr>
          <w:sz w:val="24"/>
        </w:rPr>
        <w:t>Gazete'de</w:t>
      </w:r>
      <w:proofErr w:type="spellEnd"/>
      <w:r w:rsidRPr="001B42FB">
        <w:rPr>
          <w:sz w:val="24"/>
        </w:rPr>
        <w:t xml:space="preserve"> </w:t>
      </w:r>
      <w:r w:rsidRPr="001B42FB">
        <w:t xml:space="preserve">yayımlanan Batman Üniversitesi Lisansüstü Eğitim-Öğretim ve Sınav Yönetmeliği ile Yükseköğretim Kurulu Lisansüstü Tezlerin Elektronik Ortamda Toplanması Düzenlenmesi ve Erişime Açılmasına İlişkin Yönerge hükümleri </w:t>
      </w:r>
      <w:r w:rsidRPr="001B42FB">
        <w:rPr>
          <w:sz w:val="24"/>
        </w:rPr>
        <w:t>esas alınarak hazırlanmıştır.</w:t>
      </w:r>
    </w:p>
    <w:p w:rsidR="00E6230C" w:rsidRPr="001B42FB" w:rsidRDefault="00E6230C" w:rsidP="00E6230C">
      <w:pPr>
        <w:pStyle w:val="Balk1"/>
        <w:spacing w:before="5"/>
        <w:jc w:val="both"/>
      </w:pPr>
      <w:r w:rsidRPr="001B42FB">
        <w:t>Tezli Yüksek Lisans Programı</w:t>
      </w:r>
    </w:p>
    <w:p w:rsidR="00E6230C" w:rsidRPr="001B42FB" w:rsidRDefault="00E6230C" w:rsidP="00E6230C">
      <w:pPr>
        <w:pStyle w:val="GvdeMetni"/>
        <w:spacing w:before="36" w:line="276" w:lineRule="auto"/>
        <w:ind w:right="115"/>
      </w:pPr>
      <w:r w:rsidRPr="001B42FB">
        <w:rPr>
          <w:b/>
        </w:rPr>
        <w:t xml:space="preserve">MADDE 4- </w:t>
      </w:r>
      <w:r w:rsidRPr="001B42FB">
        <w:t xml:space="preserve">(1) Danışman, öğrencinin Tez Konusu Öneri Formunu en geç ikinci </w:t>
      </w:r>
      <w:proofErr w:type="gramStart"/>
      <w:r w:rsidRPr="001B42FB">
        <w:t>yarı yılının</w:t>
      </w:r>
      <w:proofErr w:type="gramEnd"/>
      <w:r w:rsidRPr="001B42FB">
        <w:t xml:space="preserve"> sonuna kadar anabilim dalı başkanlığına dilekçe ekinde sunar. Anabilim/</w:t>
      </w:r>
      <w:proofErr w:type="spellStart"/>
      <w:r w:rsidRPr="001B42FB">
        <w:t>Anasanat</w:t>
      </w:r>
      <w:proofErr w:type="spellEnd"/>
      <w:r w:rsidRPr="001B42FB">
        <w:t xml:space="preserve"> dalı kurulunda görüşülerek son şekli verilen Tez Öneri Formu, anabilim/</w:t>
      </w:r>
      <w:proofErr w:type="spellStart"/>
      <w:r w:rsidRPr="001B42FB">
        <w:t>anasanat</w:t>
      </w:r>
      <w:proofErr w:type="spellEnd"/>
      <w:r w:rsidRPr="001B42FB">
        <w:t xml:space="preserve"> dalı kurul kararı ile enstitüye iletilir. Enstitü yönetim kurulu tez önerisini karara bağlar. Tez önerisi kabul edilen öğrenci, tez otomasyon sistemine üye girişi yaparak tez veri giriş formunu doldurduktan sonra bir nüshasını imzalayarak enstitüye teslim</w:t>
      </w:r>
      <w:r w:rsidRPr="001B42FB">
        <w:rPr>
          <w:spacing w:val="-3"/>
        </w:rPr>
        <w:t xml:space="preserve"> </w:t>
      </w:r>
      <w:r w:rsidRPr="001B42FB">
        <w:t>eder.</w:t>
      </w:r>
    </w:p>
    <w:p w:rsidR="00E6230C" w:rsidRPr="001B42FB" w:rsidRDefault="00E6230C" w:rsidP="00E6230C">
      <w:pPr>
        <w:pStyle w:val="GvdeMetni"/>
        <w:spacing w:before="2" w:line="276" w:lineRule="auto"/>
        <w:ind w:right="118"/>
      </w:pPr>
      <w:r w:rsidRPr="001B42FB">
        <w:rPr>
          <w:b/>
        </w:rPr>
        <w:t xml:space="preserve">MADDE 5- </w:t>
      </w:r>
      <w:r w:rsidRPr="001B42FB">
        <w:t xml:space="preserve">(1) Öğrencinin tez savunması işlemlerinin yapılabilmesi için tezli yüksek lisans programında seminer, 21 krediden oluşan 7 ders ve 120 </w:t>
      </w:r>
      <w:proofErr w:type="spellStart"/>
      <w:r w:rsidRPr="001B42FB">
        <w:t>AKTS’den</w:t>
      </w:r>
      <w:proofErr w:type="spellEnd"/>
      <w:r w:rsidRPr="001B42FB">
        <w:t xml:space="preserve"> oluşan yükümlüğünü başarıyla tamamlamış olması gerekmektedir.</w:t>
      </w:r>
    </w:p>
    <w:p w:rsidR="00E6230C" w:rsidRPr="001B42FB" w:rsidRDefault="00E6230C" w:rsidP="00E6230C">
      <w:pPr>
        <w:pStyle w:val="GvdeMetni"/>
        <w:spacing w:line="276" w:lineRule="auto"/>
        <w:ind w:right="114"/>
      </w:pPr>
      <w:r w:rsidRPr="001B42FB">
        <w:rPr>
          <w:b/>
        </w:rPr>
        <w:t xml:space="preserve">MADDE 6- </w:t>
      </w:r>
      <w:r w:rsidRPr="001B42FB">
        <w:t>(1) Tamamlanmış olan yüksek lisans tezi ciltlenmemiş 6 (altı) kopya ve “Tez Savunma Sınavı Başvuru Evraklarının” tamamı hazırlanarak danışman tarafından anabilim/</w:t>
      </w:r>
      <w:proofErr w:type="spellStart"/>
      <w:r w:rsidRPr="001B42FB">
        <w:t>anasanat</w:t>
      </w:r>
      <w:proofErr w:type="spellEnd"/>
      <w:r w:rsidRPr="001B42FB">
        <w:t xml:space="preserve"> dalı başkanlığına dilekçe ekinde sunulur. Anabilim dalı başkanlığı tezleri ve tezin konusu ile ilgili Batman Üniversitesi ve diğer üniversitelerden jüri üyesi olabilecek en az 5 öğretim üyesinin (3 asil+2 yedek jüri üyesi) isim ve adreslerini liste halinde enstitüye önerir. Asil ve yedek üyelerden en az biri (1 asil+1yedek) Batman Üniversitesi dışından olmalıdır. Enstitü yönetim kurulu üç asil ve iki yedek öğretim üyeden oluşan bir jüri tayin eder.</w:t>
      </w:r>
    </w:p>
    <w:p w:rsidR="00E6230C" w:rsidRPr="001B42FB" w:rsidRDefault="00E6230C" w:rsidP="00E6230C">
      <w:pPr>
        <w:pStyle w:val="GvdeMetni"/>
        <w:spacing w:line="276" w:lineRule="auto"/>
        <w:ind w:right="114"/>
      </w:pPr>
      <w:r w:rsidRPr="001B42FB">
        <w:rPr>
          <w:b/>
        </w:rPr>
        <w:t xml:space="preserve">MADDE 7- </w:t>
      </w:r>
      <w:r w:rsidRPr="001B42FB">
        <w:t>(1) Tez savunması jüri üyeleri, enstitü yönetim kurulu tarafından belirlenen tarih ve yerde toplanır. Sınav için danışman tarafından tezin ismi, tezi hazırlayan, danışman ile sınav yeri ve tarihini belirten duyuru yazısı Anabilim dalı başkanlığında ilan edilir. Jüri üyelerinin çoğunluğu tarafından tezin savunulabilir bulunması halinde, öğrenci jüri önünde en az 30 dakika en çok 1 saat süreyle tez savunmasına tabi tutulur. Öğrenciye ayrıca sorulara cevaplama yapmak için de süre verilir.</w:t>
      </w:r>
    </w:p>
    <w:p w:rsidR="00E6230C" w:rsidRPr="001B42FB" w:rsidRDefault="00E6230C" w:rsidP="00E6230C">
      <w:pPr>
        <w:pStyle w:val="GvdeMetni"/>
        <w:spacing w:line="276" w:lineRule="auto"/>
        <w:ind w:right="113"/>
      </w:pPr>
      <w:r w:rsidRPr="001B42FB">
        <w:rPr>
          <w:b/>
        </w:rPr>
        <w:t xml:space="preserve">MADDE 8- </w:t>
      </w:r>
      <w:r w:rsidRPr="001B42FB">
        <w:t xml:space="preserve">(1) Tez savunması jüri üyeleri savunmayı ve adayın sorulan sorulara verdiği cevapları da dikkate alarak salt çoğunlukla tezi kabul (başarılı), ret (başarısız) </w:t>
      </w:r>
      <w:r w:rsidRPr="001B42FB">
        <w:rPr>
          <w:spacing w:val="-3"/>
        </w:rPr>
        <w:t xml:space="preserve">ya </w:t>
      </w:r>
      <w:r w:rsidRPr="001B42FB">
        <w:t>da düzeltme kararı verir. Jüri üyeleri tam not (100) üzerinden tezi değerlendirirler. Ancak 100 üzerinden 70'ten aşağı not ile değerlendirilmiş tez, ret edilmiş sayılır. Jüri başkanı sonucu ortak bir tutanakla tespit ederek en geç üç gün içerisinde anabilim dalı başkanlığı aracılığı ile enstitüye</w:t>
      </w:r>
      <w:r w:rsidRPr="001B42FB">
        <w:rPr>
          <w:spacing w:val="-2"/>
        </w:rPr>
        <w:t xml:space="preserve"> </w:t>
      </w:r>
      <w:r w:rsidRPr="001B42FB">
        <w:t>bildirir.</w:t>
      </w:r>
    </w:p>
    <w:p w:rsidR="00E6230C" w:rsidRPr="001B42FB" w:rsidRDefault="00E6230C" w:rsidP="00E6230C">
      <w:pPr>
        <w:spacing w:line="276" w:lineRule="auto"/>
        <w:sectPr w:rsidR="00E6230C" w:rsidRPr="001B42FB" w:rsidSect="00E6230C">
          <w:pgSz w:w="11910" w:h="16840"/>
          <w:pgMar w:top="1320" w:right="1300" w:bottom="280" w:left="1300" w:header="708" w:footer="708" w:gutter="0"/>
          <w:cols w:space="708"/>
        </w:sectPr>
      </w:pPr>
    </w:p>
    <w:p w:rsidR="00E6230C" w:rsidRPr="001B42FB" w:rsidRDefault="00E6230C" w:rsidP="00E6230C">
      <w:pPr>
        <w:pStyle w:val="GvdeMetni"/>
        <w:spacing w:before="72" w:line="276" w:lineRule="auto"/>
        <w:ind w:right="114"/>
      </w:pPr>
      <w:r w:rsidRPr="001B42FB">
        <w:rPr>
          <w:b/>
        </w:rPr>
        <w:lastRenderedPageBreak/>
        <w:t xml:space="preserve">MADDE 9- </w:t>
      </w:r>
      <w:r w:rsidRPr="001B42FB">
        <w:t xml:space="preserve">(1) Jüri tarafından kabul edilen yüksek lisans tezi, öğrenci tarafından jürinin ıslak imzasının yer aldığı kaliteli karton kapakla ciltlenmiş 6 nüsha tez ve tez içeriği dijital ortama aktarılarak </w:t>
      </w:r>
      <w:proofErr w:type="spellStart"/>
      <w:r w:rsidRPr="001B42FB">
        <w:t>pdf</w:t>
      </w:r>
      <w:proofErr w:type="spellEnd"/>
      <w:r w:rsidRPr="001B42FB">
        <w:t xml:space="preserve"> formatına dönüştürülmüş bir CD ile birlikte dilekçe ekinde enstitüye teslim edilir.</w:t>
      </w:r>
    </w:p>
    <w:p w:rsidR="00E6230C" w:rsidRPr="001B42FB" w:rsidRDefault="00E6230C" w:rsidP="00E6230C">
      <w:pPr>
        <w:pStyle w:val="Balk1"/>
        <w:spacing w:before="5"/>
        <w:jc w:val="both"/>
      </w:pPr>
      <w:r w:rsidRPr="001B42FB">
        <w:t>Doktora Programı</w:t>
      </w:r>
    </w:p>
    <w:p w:rsidR="00E6230C" w:rsidRPr="001B42FB" w:rsidRDefault="00E6230C" w:rsidP="00E6230C">
      <w:pPr>
        <w:pStyle w:val="GvdeMetni"/>
        <w:spacing w:before="38" w:line="276" w:lineRule="auto"/>
        <w:ind w:right="115"/>
      </w:pPr>
      <w:r w:rsidRPr="001B42FB">
        <w:rPr>
          <w:b/>
        </w:rPr>
        <w:t>MADDE 10 – (</w:t>
      </w:r>
      <w:r w:rsidRPr="001B42FB">
        <w:t>1) Derslerini ve seminerini tamamlayan öğrenci doktora yeterlik sınavına alınır. Doktora yeterlik sınavları Eylül-Ekim ve Mart-Nisan aylarında olmak üzere yılda iki kez enstitü yönetim kurulu tarafından belirlenen tarihlerde yapılır. Bu sınav yazılı ve sözlü olarak iki bölüm halinde yapılır. Bu Sınavda başarılı olabilmek için 100 tam puan üzerinden en az 75 puan almak gerekir. Bu sınavda başarısız olan öğrenci bir sonraki yarıyılda tekrar sınava alınır. Bu sınavda da başarısız olan öğrencinin doktora programı ile olan ilişkisi kesilir.</w:t>
      </w:r>
    </w:p>
    <w:p w:rsidR="00E6230C" w:rsidRPr="001B42FB" w:rsidRDefault="00E6230C" w:rsidP="00E6230C">
      <w:pPr>
        <w:pStyle w:val="ListeParagraf"/>
        <w:numPr>
          <w:ilvl w:val="0"/>
          <w:numId w:val="2"/>
        </w:numPr>
        <w:tabs>
          <w:tab w:val="left" w:pos="1245"/>
        </w:tabs>
        <w:spacing w:line="276" w:lineRule="auto"/>
        <w:ind w:firstLine="707"/>
        <w:jc w:val="both"/>
        <w:rPr>
          <w:sz w:val="24"/>
        </w:rPr>
      </w:pPr>
      <w:r w:rsidRPr="001B42FB">
        <w:rPr>
          <w:sz w:val="24"/>
        </w:rPr>
        <w:t>Öğrencinin tez savunması işlemlerinin yapılabilmesi için tezli yüksek lisans programında seminer</w:t>
      </w:r>
      <w:r w:rsidR="008D7E51" w:rsidRPr="001B42FB">
        <w:rPr>
          <w:sz w:val="24"/>
        </w:rPr>
        <w:t xml:space="preserve">, 21 krediden oluşan 7 ders </w:t>
      </w:r>
      <w:r w:rsidRPr="001B42FB">
        <w:rPr>
          <w:sz w:val="24"/>
        </w:rPr>
        <w:t xml:space="preserve">ve 240 </w:t>
      </w:r>
      <w:proofErr w:type="spellStart"/>
      <w:r w:rsidRPr="001B42FB">
        <w:rPr>
          <w:sz w:val="24"/>
        </w:rPr>
        <w:t>AKTS’den</w:t>
      </w:r>
      <w:proofErr w:type="spellEnd"/>
      <w:r w:rsidRPr="001B42FB">
        <w:rPr>
          <w:sz w:val="24"/>
        </w:rPr>
        <w:t xml:space="preserve"> oluşan yükümlüğünü başarıyla tamamlamış olması</w:t>
      </w:r>
      <w:r w:rsidRPr="001B42FB">
        <w:rPr>
          <w:spacing w:val="-2"/>
          <w:sz w:val="24"/>
        </w:rPr>
        <w:t xml:space="preserve"> </w:t>
      </w:r>
      <w:r w:rsidRPr="001B42FB">
        <w:rPr>
          <w:sz w:val="24"/>
        </w:rPr>
        <w:t>gerekmektedir.</w:t>
      </w:r>
    </w:p>
    <w:p w:rsidR="00E6230C" w:rsidRPr="001B42FB" w:rsidRDefault="00E6230C" w:rsidP="00E6230C">
      <w:pPr>
        <w:pStyle w:val="ListeParagraf"/>
        <w:numPr>
          <w:ilvl w:val="0"/>
          <w:numId w:val="2"/>
        </w:numPr>
        <w:tabs>
          <w:tab w:val="left" w:pos="1192"/>
        </w:tabs>
        <w:spacing w:line="276" w:lineRule="auto"/>
        <w:ind w:firstLine="707"/>
        <w:jc w:val="both"/>
        <w:rPr>
          <w:sz w:val="24"/>
        </w:rPr>
      </w:pPr>
      <w:r w:rsidRPr="001B42FB">
        <w:rPr>
          <w:sz w:val="24"/>
        </w:rPr>
        <w:t>Derslerini ve doktora yeterlik sınavını başarı ile tamamlayıp tez izleme komitesi tarafından tez önerisi kabul edilen öğrenci tez otomasyon sistemine üye girişi yaparak tez veri giriş formunu doldurduktan sonra bir nüshasını imzalayarak enstitüye teslim</w:t>
      </w:r>
      <w:r w:rsidRPr="001B42FB">
        <w:rPr>
          <w:spacing w:val="-9"/>
          <w:sz w:val="24"/>
        </w:rPr>
        <w:t xml:space="preserve"> </w:t>
      </w:r>
      <w:r w:rsidRPr="001B42FB">
        <w:rPr>
          <w:sz w:val="24"/>
        </w:rPr>
        <w:t>eder.</w:t>
      </w:r>
    </w:p>
    <w:p w:rsidR="00E6230C" w:rsidRPr="001B42FB" w:rsidRDefault="00E6230C" w:rsidP="00E6230C">
      <w:pPr>
        <w:pStyle w:val="ListeParagraf"/>
        <w:numPr>
          <w:ilvl w:val="0"/>
          <w:numId w:val="2"/>
        </w:numPr>
        <w:tabs>
          <w:tab w:val="left" w:pos="1221"/>
        </w:tabs>
        <w:spacing w:before="1" w:line="276" w:lineRule="auto"/>
        <w:ind w:right="114" w:firstLine="707"/>
        <w:jc w:val="both"/>
        <w:rPr>
          <w:sz w:val="24"/>
        </w:rPr>
      </w:pPr>
      <w:r w:rsidRPr="001B42FB">
        <w:rPr>
          <w:sz w:val="24"/>
        </w:rPr>
        <w:t xml:space="preserve">Tamamlanmış olan doktora tezi ciltlenmemiş 7 (yedi) kopya ile birlikte “Tez Savunma Sınavı Başvuru </w:t>
      </w:r>
      <w:proofErr w:type="spellStart"/>
      <w:r w:rsidRPr="001B42FB">
        <w:rPr>
          <w:sz w:val="24"/>
        </w:rPr>
        <w:t>Evrakları”nın</w:t>
      </w:r>
      <w:proofErr w:type="spellEnd"/>
      <w:r w:rsidRPr="001B42FB">
        <w:rPr>
          <w:sz w:val="24"/>
        </w:rPr>
        <w:t xml:space="preserve"> tamamı hazırlanarak danışman tarafından anabilim/</w:t>
      </w:r>
      <w:proofErr w:type="spellStart"/>
      <w:r w:rsidRPr="001B42FB">
        <w:rPr>
          <w:sz w:val="24"/>
        </w:rPr>
        <w:t>anasanat</w:t>
      </w:r>
      <w:proofErr w:type="spellEnd"/>
      <w:r w:rsidRPr="001B42FB">
        <w:rPr>
          <w:sz w:val="24"/>
        </w:rPr>
        <w:t xml:space="preserve"> dalı başkanlığına dilekçe ekinde sunulur. Anabilim dalı başkanlığı tezleri ve tez konusu üzerinde Batman Üniversitesi ve diğer üniversitelerden jüri üyesi olabilecek en az 7 öğretim üyesinin isim ve adreslerini liste halinde enstitüye önerir. </w:t>
      </w:r>
      <w:proofErr w:type="gramStart"/>
      <w:r w:rsidRPr="001B42FB">
        <w:rPr>
          <w:sz w:val="24"/>
        </w:rPr>
        <w:t>Enstitü yönetim kurulu üçü öğrencinin tez izleme komitesinde (TİK) yer alan öğretim üyeleri ve en az ikisi başka bir yükseköğretim kurumunun ilgili anabilim dalından olmak üzere 5 asil üyeden (en az ikisi başka bir yükseköğretim kurumunun ilgili anabilim dalından olmak üzere) ve 2 yedek üyeden (en az biri başka bir yükseköğretim kurumunun ilgili anabilim dalından olmak üzere) oluşan bir jüri tayin</w:t>
      </w:r>
      <w:r w:rsidRPr="001B42FB">
        <w:rPr>
          <w:spacing w:val="-1"/>
          <w:sz w:val="24"/>
        </w:rPr>
        <w:t xml:space="preserve"> </w:t>
      </w:r>
      <w:r w:rsidRPr="001B42FB">
        <w:rPr>
          <w:sz w:val="24"/>
        </w:rPr>
        <w:t>eder.</w:t>
      </w:r>
      <w:proofErr w:type="gramEnd"/>
    </w:p>
    <w:p w:rsidR="00E6230C" w:rsidRPr="001B42FB" w:rsidRDefault="00E6230C" w:rsidP="00E6230C">
      <w:pPr>
        <w:pStyle w:val="GvdeMetni"/>
        <w:spacing w:line="276" w:lineRule="auto"/>
        <w:ind w:right="112"/>
      </w:pPr>
      <w:r w:rsidRPr="001B42FB">
        <w:rPr>
          <w:b/>
        </w:rPr>
        <w:t xml:space="preserve">MADDE 11 - </w:t>
      </w:r>
      <w:r w:rsidRPr="001B42FB">
        <w:t>(1) Tez savunması jüri üyeleri, enstitü yönetim kurulu tarafından belirlenen tarih ve yerde toplanır. Anabilim/</w:t>
      </w:r>
      <w:proofErr w:type="spellStart"/>
      <w:r w:rsidR="008D7E51" w:rsidRPr="001B42FB">
        <w:t>A</w:t>
      </w:r>
      <w:r w:rsidRPr="001B42FB">
        <w:t>nasanat</w:t>
      </w:r>
      <w:proofErr w:type="spellEnd"/>
      <w:r w:rsidRPr="001B42FB">
        <w:t xml:space="preserve"> dalı başkanlığında tezin ismi, tezi hazırlayan, danışman ile sınav yeri ve tarihini belirten duyuru yazısı ilan edilir. Öğrenci, jüri önünde en az 45 dakika en çok 150 dakika süreyle tez savunmasına tabi tutulur. Öğrenciye ayrıca sorulara cevaplama yapmak için de süre verilir.</w:t>
      </w:r>
    </w:p>
    <w:p w:rsidR="00E6230C" w:rsidRPr="001B42FB" w:rsidRDefault="00E6230C" w:rsidP="00E6230C">
      <w:pPr>
        <w:pStyle w:val="GvdeMetni"/>
        <w:spacing w:line="276" w:lineRule="auto"/>
        <w:ind w:right="115"/>
      </w:pPr>
      <w:r w:rsidRPr="001B42FB">
        <w:rPr>
          <w:b/>
        </w:rPr>
        <w:t xml:space="preserve">MADDE 12 - </w:t>
      </w:r>
      <w:r w:rsidRPr="001B42FB">
        <w:t>(1) Tez Savunması Jüri üyeleri savunmayı ve adayın sorulan sorulara verdiği cevapları da dikkate alarak salt çoğunlukla tezi kabul (başarılı), ret (başarısız) ya da düzeltme kararı verir. Jüri üyeleri tam not (100) üzerinden tezi değerlendirirler. Ancak 100 üzerinden 75'ten aşağı not ile değerlendirilmiş tez, ret edilmiş sayılır. Jüri başkanı sonucu ortak bir tutanakla tespit ederek en geç üç gün içerisinde anabilim dalı başkanlığı aracılığı ile enstitüye bildirir.</w:t>
      </w:r>
    </w:p>
    <w:p w:rsidR="00E6230C" w:rsidRPr="001B42FB" w:rsidRDefault="00E6230C" w:rsidP="00E6230C">
      <w:pPr>
        <w:pStyle w:val="GvdeMetni"/>
        <w:spacing w:before="1" w:line="276" w:lineRule="auto"/>
        <w:ind w:right="112"/>
      </w:pPr>
      <w:proofErr w:type="gramStart"/>
      <w:r w:rsidRPr="001B42FB">
        <w:rPr>
          <w:b/>
        </w:rPr>
        <w:t xml:space="preserve">MADDE 13 - </w:t>
      </w:r>
      <w:r w:rsidRPr="001B42FB">
        <w:t xml:space="preserve">(1) Tez savunması jüri üyeleri tarafından kabul edilen doktora tezi, öğrenci tarafından jürinin ıslak imzasının yer aldığı enstitü tarafından hazırlanan tez kapağı ile ciltlenmiş 6 nüsha tez ve tez içeriği dijital ortama aktarılarak </w:t>
      </w:r>
      <w:proofErr w:type="spellStart"/>
      <w:r w:rsidRPr="001B42FB">
        <w:t>word</w:t>
      </w:r>
      <w:proofErr w:type="spellEnd"/>
      <w:r w:rsidRPr="001B42FB">
        <w:t xml:space="preserve"> ve </w:t>
      </w:r>
      <w:proofErr w:type="spellStart"/>
      <w:r w:rsidRPr="001B42FB">
        <w:t>pdf</w:t>
      </w:r>
      <w:proofErr w:type="spellEnd"/>
      <w:r w:rsidRPr="001B42FB">
        <w:t xml:space="preserve"> formatına dönüştürülmüş iki cd, intihal formu, tez teslim tutanağı, mezun öğrenci ilişik kesme belgesi, ulusal tez merkezi veri giriş formu ve öğrenci kimliği ile birlikte enstitüye teslim eder.</w:t>
      </w:r>
      <w:proofErr w:type="gramEnd"/>
    </w:p>
    <w:p w:rsidR="00E6230C" w:rsidRPr="001B42FB" w:rsidRDefault="00E6230C" w:rsidP="00E6230C">
      <w:pPr>
        <w:spacing w:line="276" w:lineRule="auto"/>
        <w:sectPr w:rsidR="00E6230C" w:rsidRPr="001B42FB">
          <w:pgSz w:w="11910" w:h="16840"/>
          <w:pgMar w:top="1320" w:right="1300" w:bottom="280" w:left="1300" w:header="708" w:footer="708" w:gutter="0"/>
          <w:cols w:space="708"/>
        </w:sectPr>
      </w:pPr>
    </w:p>
    <w:p w:rsidR="00E6230C" w:rsidRPr="001B42FB" w:rsidRDefault="00E6230C" w:rsidP="00E6230C">
      <w:pPr>
        <w:pStyle w:val="Balk1"/>
        <w:spacing w:before="136"/>
      </w:pPr>
      <w:r w:rsidRPr="001B42FB">
        <w:lastRenderedPageBreak/>
        <w:t>Tez Çalışmasının Sonuçlandırılması</w:t>
      </w:r>
    </w:p>
    <w:p w:rsidR="00E6230C" w:rsidRPr="001B42FB" w:rsidRDefault="00E6230C" w:rsidP="00E6230C">
      <w:pPr>
        <w:pStyle w:val="GvdeMetni"/>
        <w:spacing w:before="36" w:line="276" w:lineRule="auto"/>
        <w:jc w:val="left"/>
      </w:pPr>
      <w:r w:rsidRPr="001B42FB">
        <w:rPr>
          <w:b/>
        </w:rPr>
        <w:t>MADDE 1</w:t>
      </w:r>
      <w:r w:rsidR="008D7E51" w:rsidRPr="001B42FB">
        <w:rPr>
          <w:b/>
        </w:rPr>
        <w:t>4</w:t>
      </w:r>
      <w:r w:rsidRPr="001B42FB">
        <w:rPr>
          <w:b/>
        </w:rPr>
        <w:t xml:space="preserve"> - </w:t>
      </w:r>
      <w:r w:rsidRPr="001B42FB">
        <w:t xml:space="preserve">(1) Lisansüstü programlarda üretilen tezler, enstitü tarafından önerilen yazım </w:t>
      </w:r>
      <w:r w:rsidR="008D7E51" w:rsidRPr="001B42FB">
        <w:t xml:space="preserve">ve şekli formata </w:t>
      </w:r>
      <w:r w:rsidRPr="001B42FB">
        <w:t>uygun olarak hazırlanırlar.</w:t>
      </w:r>
    </w:p>
    <w:p w:rsidR="00E6230C" w:rsidRPr="001B42FB" w:rsidRDefault="00E6230C" w:rsidP="00E6230C">
      <w:pPr>
        <w:pStyle w:val="GvdeMetni"/>
        <w:spacing w:line="278" w:lineRule="auto"/>
        <w:jc w:val="left"/>
      </w:pPr>
      <w:r w:rsidRPr="001B42FB">
        <w:rPr>
          <w:b/>
        </w:rPr>
        <w:t>MADDE 1</w:t>
      </w:r>
      <w:r w:rsidR="008D7E51" w:rsidRPr="001B42FB">
        <w:rPr>
          <w:b/>
        </w:rPr>
        <w:t>5</w:t>
      </w:r>
      <w:r w:rsidRPr="001B42FB">
        <w:rPr>
          <w:b/>
        </w:rPr>
        <w:t xml:space="preserve">- </w:t>
      </w:r>
      <w:r w:rsidRPr="001B42FB">
        <w:t>(1) Enstitü öğrenciden teslim aldığı tezin elektronik kopyasını teslim tarihinden itibaren en geç 3 ay içinde tez otomasyon sistemine yükler.</w:t>
      </w:r>
    </w:p>
    <w:p w:rsidR="00E6230C" w:rsidRPr="001B42FB" w:rsidRDefault="00E6230C" w:rsidP="00E6230C">
      <w:pPr>
        <w:pStyle w:val="ListeParagraf"/>
        <w:numPr>
          <w:ilvl w:val="0"/>
          <w:numId w:val="1"/>
        </w:numPr>
        <w:tabs>
          <w:tab w:val="left" w:pos="1199"/>
        </w:tabs>
        <w:spacing w:line="276" w:lineRule="auto"/>
        <w:ind w:right="113" w:firstLine="707"/>
        <w:jc w:val="both"/>
        <w:rPr>
          <w:sz w:val="24"/>
        </w:rPr>
      </w:pPr>
      <w:r w:rsidRPr="001B42FB">
        <w:rPr>
          <w:sz w:val="24"/>
        </w:rPr>
        <w:t xml:space="preserve">“Lisansüstü Tezlerin Elektronik Ortamda Toplanması, Düzenlenmesi ve Erişime Açılmasına İlişkin </w:t>
      </w:r>
      <w:proofErr w:type="spellStart"/>
      <w:r w:rsidRPr="001B42FB">
        <w:rPr>
          <w:sz w:val="24"/>
        </w:rPr>
        <w:t>Yönerge”nin</w:t>
      </w:r>
      <w:proofErr w:type="spellEnd"/>
      <w:r w:rsidRPr="001B42FB">
        <w:rPr>
          <w:sz w:val="24"/>
        </w:rPr>
        <w:t xml:space="preserve"> Lisansüstü tezlerin erişime açılmasının ertelenmesi başlıklı 6. Maddenin 1. bendi kapsamında iki yıl, 2. bendi kapsamında 6 ay erişime açılması engellenebilir.</w:t>
      </w:r>
    </w:p>
    <w:p w:rsidR="00E6230C" w:rsidRPr="001B42FB" w:rsidRDefault="00E6230C" w:rsidP="00E6230C">
      <w:pPr>
        <w:pStyle w:val="ListeParagraf"/>
        <w:numPr>
          <w:ilvl w:val="0"/>
          <w:numId w:val="1"/>
        </w:numPr>
        <w:tabs>
          <w:tab w:val="left" w:pos="1230"/>
        </w:tabs>
        <w:spacing w:line="276" w:lineRule="auto"/>
        <w:ind w:right="116" w:firstLine="707"/>
        <w:jc w:val="both"/>
        <w:rPr>
          <w:sz w:val="24"/>
        </w:rPr>
      </w:pPr>
      <w:r w:rsidRPr="001B42FB">
        <w:rPr>
          <w:sz w:val="24"/>
        </w:rPr>
        <w:t>Aynı yönergenin Gizlilik dereceli tezler başlıklı 7. Maddenin 1. ve 2. bendi gereğince gizlilik kararı alınan tezler yükseköğretim kurumuna bildirilir. Gizlilik kararı kaldırılması halinde tez otomasyon sistemine</w:t>
      </w:r>
      <w:r w:rsidRPr="001B42FB">
        <w:rPr>
          <w:spacing w:val="4"/>
          <w:sz w:val="24"/>
        </w:rPr>
        <w:t xml:space="preserve"> </w:t>
      </w:r>
      <w:r w:rsidRPr="001B42FB">
        <w:rPr>
          <w:sz w:val="24"/>
        </w:rPr>
        <w:t>yüklenir.</w:t>
      </w:r>
    </w:p>
    <w:p w:rsidR="00E6230C" w:rsidRPr="001B42FB" w:rsidRDefault="00E6230C" w:rsidP="00E6230C">
      <w:pPr>
        <w:pStyle w:val="Balk1"/>
      </w:pPr>
      <w:r w:rsidRPr="001B42FB">
        <w:t>Karar ve Yürürlük</w:t>
      </w:r>
    </w:p>
    <w:p w:rsidR="00E6230C" w:rsidRPr="001B42FB" w:rsidRDefault="00E6230C" w:rsidP="00E6230C">
      <w:pPr>
        <w:pStyle w:val="GvdeMetni"/>
        <w:spacing w:before="36"/>
        <w:ind w:left="824" w:firstLine="0"/>
        <w:jc w:val="left"/>
      </w:pPr>
      <w:r w:rsidRPr="001B42FB">
        <w:rPr>
          <w:b/>
        </w:rPr>
        <w:t>MADDE 1</w:t>
      </w:r>
      <w:r w:rsidR="008D7E51" w:rsidRPr="001B42FB">
        <w:rPr>
          <w:b/>
        </w:rPr>
        <w:t>6</w:t>
      </w:r>
      <w:r w:rsidRPr="001B42FB">
        <w:rPr>
          <w:b/>
        </w:rPr>
        <w:t xml:space="preserve"> – </w:t>
      </w:r>
      <w:r w:rsidRPr="001B42FB">
        <w:t>(1) Bu Yönerge Senato tarafından kabul edildiği tarihte yürürlüğe girer.</w:t>
      </w:r>
    </w:p>
    <w:p w:rsidR="00E6230C" w:rsidRPr="001B42FB" w:rsidRDefault="00E6230C" w:rsidP="00E6230C">
      <w:pPr>
        <w:pStyle w:val="Balk1"/>
        <w:spacing w:before="45"/>
      </w:pPr>
      <w:r w:rsidRPr="001B42FB">
        <w:t>Yürütme</w:t>
      </w:r>
    </w:p>
    <w:p w:rsidR="00E6230C" w:rsidRPr="001B42FB" w:rsidRDefault="00E6230C" w:rsidP="00E6230C">
      <w:pPr>
        <w:pStyle w:val="GvdeMetni"/>
        <w:spacing w:before="37"/>
        <w:ind w:left="824" w:firstLine="0"/>
        <w:jc w:val="left"/>
      </w:pPr>
      <w:r w:rsidRPr="001B42FB">
        <w:rPr>
          <w:b/>
        </w:rPr>
        <w:t>MADDE 1</w:t>
      </w:r>
      <w:r w:rsidR="008D7E51" w:rsidRPr="001B42FB">
        <w:rPr>
          <w:b/>
        </w:rPr>
        <w:t>7</w:t>
      </w:r>
      <w:r w:rsidRPr="001B42FB">
        <w:rPr>
          <w:b/>
        </w:rPr>
        <w:t xml:space="preserve"> </w:t>
      </w:r>
      <w:r w:rsidRPr="001B42FB">
        <w:t>– (1) Bu Yönerge Rektör tarafından yürütülür.</w:t>
      </w:r>
    </w:p>
    <w:p w:rsidR="00E6230C" w:rsidRPr="001B42FB" w:rsidRDefault="00E6230C" w:rsidP="00E6230C">
      <w:pPr>
        <w:pStyle w:val="GvdeMetni"/>
        <w:ind w:left="0" w:firstLine="0"/>
        <w:jc w:val="left"/>
        <w:rPr>
          <w:sz w:val="20"/>
        </w:rPr>
      </w:pPr>
    </w:p>
    <w:p w:rsidR="00E6230C" w:rsidRPr="001B42FB" w:rsidRDefault="00E6230C" w:rsidP="00E6230C">
      <w:pPr>
        <w:pStyle w:val="GvdeMetni"/>
        <w:ind w:left="0" w:firstLine="0"/>
        <w:jc w:val="left"/>
        <w:rPr>
          <w:sz w:val="20"/>
        </w:rPr>
      </w:pPr>
    </w:p>
    <w:p w:rsidR="00E6230C" w:rsidRPr="001B42FB" w:rsidRDefault="00E6230C" w:rsidP="00E6230C">
      <w:pPr>
        <w:pStyle w:val="GvdeMetni"/>
        <w:ind w:left="0" w:firstLine="0"/>
        <w:jc w:val="left"/>
        <w:rPr>
          <w:sz w:val="20"/>
        </w:rPr>
      </w:pPr>
    </w:p>
    <w:p w:rsidR="00E6230C" w:rsidRPr="001B42FB" w:rsidRDefault="00E6230C" w:rsidP="00E6230C">
      <w:pPr>
        <w:pStyle w:val="GvdeMetni"/>
        <w:ind w:left="0" w:firstLine="0"/>
        <w:jc w:val="left"/>
        <w:rPr>
          <w:sz w:val="20"/>
        </w:rPr>
      </w:pPr>
    </w:p>
    <w:p w:rsidR="00E6230C" w:rsidRPr="001B42FB" w:rsidRDefault="00E6230C" w:rsidP="00E6230C">
      <w:pPr>
        <w:pStyle w:val="GvdeMetni"/>
        <w:spacing w:before="2"/>
        <w:ind w:left="0" w:firstLine="0"/>
        <w:jc w:val="left"/>
        <w:rPr>
          <w:sz w:val="14"/>
        </w:rPr>
      </w:pPr>
    </w:p>
    <w:tbl>
      <w:tblPr>
        <w:tblStyle w:val="TableNormal"/>
        <w:tblW w:w="0" w:type="auto"/>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8"/>
        <w:gridCol w:w="4251"/>
      </w:tblGrid>
      <w:tr w:rsidR="001B42FB" w:rsidRPr="001B42FB" w:rsidTr="00587220">
        <w:trPr>
          <w:trHeight w:val="277"/>
        </w:trPr>
        <w:tc>
          <w:tcPr>
            <w:tcW w:w="8589" w:type="dxa"/>
            <w:gridSpan w:val="2"/>
            <w:tcBorders>
              <w:bottom w:val="nil"/>
            </w:tcBorders>
          </w:tcPr>
          <w:p w:rsidR="00E6230C" w:rsidRPr="001B42FB" w:rsidRDefault="00E6230C" w:rsidP="00587220">
            <w:pPr>
              <w:pStyle w:val="TableParagraph"/>
              <w:spacing w:line="258" w:lineRule="exact"/>
              <w:ind w:left="2122" w:right="2105"/>
              <w:rPr>
                <w:b/>
                <w:sz w:val="24"/>
              </w:rPr>
            </w:pPr>
            <w:proofErr w:type="spellStart"/>
            <w:r w:rsidRPr="001B42FB">
              <w:rPr>
                <w:b/>
                <w:sz w:val="24"/>
              </w:rPr>
              <w:t>Yönergenin</w:t>
            </w:r>
            <w:proofErr w:type="spellEnd"/>
            <w:r w:rsidRPr="001B42FB">
              <w:rPr>
                <w:b/>
                <w:sz w:val="24"/>
              </w:rPr>
              <w:t xml:space="preserve"> Kabul </w:t>
            </w:r>
            <w:proofErr w:type="spellStart"/>
            <w:r w:rsidRPr="001B42FB">
              <w:rPr>
                <w:b/>
                <w:sz w:val="24"/>
              </w:rPr>
              <w:t>Edildiği</w:t>
            </w:r>
            <w:proofErr w:type="spellEnd"/>
            <w:r w:rsidRPr="001B42FB">
              <w:rPr>
                <w:b/>
                <w:sz w:val="24"/>
              </w:rPr>
              <w:t xml:space="preserve"> </w:t>
            </w:r>
            <w:proofErr w:type="spellStart"/>
            <w:r w:rsidRPr="001B42FB">
              <w:rPr>
                <w:b/>
                <w:sz w:val="24"/>
              </w:rPr>
              <w:t>Senato’nun</w:t>
            </w:r>
            <w:proofErr w:type="spellEnd"/>
          </w:p>
        </w:tc>
      </w:tr>
      <w:tr w:rsidR="001B42FB" w:rsidRPr="001B42FB" w:rsidTr="00587220">
        <w:trPr>
          <w:trHeight w:val="273"/>
        </w:trPr>
        <w:tc>
          <w:tcPr>
            <w:tcW w:w="4338" w:type="dxa"/>
            <w:tcBorders>
              <w:top w:val="nil"/>
              <w:right w:val="nil"/>
            </w:tcBorders>
          </w:tcPr>
          <w:p w:rsidR="00E6230C" w:rsidRPr="001B42FB" w:rsidRDefault="00E6230C" w:rsidP="00587220">
            <w:pPr>
              <w:pStyle w:val="TableParagraph"/>
              <w:ind w:left="1820" w:right="1814"/>
              <w:rPr>
                <w:b/>
                <w:sz w:val="24"/>
              </w:rPr>
            </w:pPr>
            <w:proofErr w:type="spellStart"/>
            <w:r w:rsidRPr="001B42FB">
              <w:rPr>
                <w:b/>
                <w:sz w:val="24"/>
              </w:rPr>
              <w:t>Tarihi</w:t>
            </w:r>
            <w:proofErr w:type="spellEnd"/>
          </w:p>
        </w:tc>
        <w:tc>
          <w:tcPr>
            <w:tcW w:w="4251" w:type="dxa"/>
            <w:tcBorders>
              <w:top w:val="nil"/>
              <w:left w:val="nil"/>
            </w:tcBorders>
          </w:tcPr>
          <w:p w:rsidR="00E6230C" w:rsidRPr="001B42FB" w:rsidRDefault="00E6230C" w:rsidP="00587220">
            <w:pPr>
              <w:pStyle w:val="TableParagraph"/>
              <w:ind w:right="1530"/>
              <w:rPr>
                <w:b/>
                <w:sz w:val="24"/>
              </w:rPr>
            </w:pPr>
            <w:proofErr w:type="spellStart"/>
            <w:r w:rsidRPr="001B42FB">
              <w:rPr>
                <w:b/>
                <w:sz w:val="24"/>
              </w:rPr>
              <w:t>Sayısı</w:t>
            </w:r>
            <w:proofErr w:type="spellEnd"/>
          </w:p>
        </w:tc>
      </w:tr>
      <w:tr w:rsidR="001B42FB" w:rsidRPr="001B42FB" w:rsidTr="00587220">
        <w:trPr>
          <w:trHeight w:val="450"/>
        </w:trPr>
        <w:tc>
          <w:tcPr>
            <w:tcW w:w="4338" w:type="dxa"/>
          </w:tcPr>
          <w:p w:rsidR="00E6230C" w:rsidRPr="001B42FB" w:rsidRDefault="00E6230C" w:rsidP="00587220">
            <w:pPr>
              <w:pStyle w:val="TableParagraph"/>
              <w:spacing w:line="240" w:lineRule="auto"/>
              <w:ind w:left="0"/>
              <w:jc w:val="left"/>
              <w:rPr>
                <w:sz w:val="24"/>
              </w:rPr>
            </w:pPr>
          </w:p>
        </w:tc>
        <w:tc>
          <w:tcPr>
            <w:tcW w:w="4251" w:type="dxa"/>
          </w:tcPr>
          <w:p w:rsidR="00E6230C" w:rsidRPr="001B42FB" w:rsidRDefault="00E6230C" w:rsidP="00587220">
            <w:pPr>
              <w:pStyle w:val="TableParagraph"/>
              <w:spacing w:line="240" w:lineRule="auto"/>
              <w:ind w:left="0"/>
              <w:jc w:val="left"/>
              <w:rPr>
                <w:sz w:val="24"/>
              </w:rPr>
            </w:pPr>
          </w:p>
        </w:tc>
      </w:tr>
      <w:tr w:rsidR="001B42FB" w:rsidRPr="001B42FB" w:rsidTr="00587220">
        <w:trPr>
          <w:trHeight w:val="277"/>
        </w:trPr>
        <w:tc>
          <w:tcPr>
            <w:tcW w:w="8589" w:type="dxa"/>
            <w:gridSpan w:val="2"/>
            <w:tcBorders>
              <w:bottom w:val="nil"/>
            </w:tcBorders>
          </w:tcPr>
          <w:p w:rsidR="00E6230C" w:rsidRPr="001B42FB" w:rsidRDefault="00E6230C" w:rsidP="00587220">
            <w:pPr>
              <w:pStyle w:val="TableParagraph"/>
              <w:spacing w:line="257" w:lineRule="exact"/>
              <w:ind w:left="2122" w:right="2106"/>
              <w:rPr>
                <w:b/>
                <w:sz w:val="24"/>
              </w:rPr>
            </w:pPr>
            <w:proofErr w:type="spellStart"/>
            <w:r w:rsidRPr="001B42FB">
              <w:rPr>
                <w:b/>
                <w:sz w:val="24"/>
              </w:rPr>
              <w:t>Yönergede</w:t>
            </w:r>
            <w:proofErr w:type="spellEnd"/>
            <w:r w:rsidRPr="001B42FB">
              <w:rPr>
                <w:b/>
                <w:sz w:val="24"/>
              </w:rPr>
              <w:t xml:space="preserve"> </w:t>
            </w:r>
            <w:proofErr w:type="spellStart"/>
            <w:r w:rsidRPr="001B42FB">
              <w:rPr>
                <w:b/>
                <w:sz w:val="24"/>
              </w:rPr>
              <w:t>Değişiklik</w:t>
            </w:r>
            <w:proofErr w:type="spellEnd"/>
            <w:r w:rsidRPr="001B42FB">
              <w:rPr>
                <w:b/>
                <w:sz w:val="24"/>
              </w:rPr>
              <w:t xml:space="preserve"> </w:t>
            </w:r>
            <w:proofErr w:type="spellStart"/>
            <w:r w:rsidRPr="001B42FB">
              <w:rPr>
                <w:b/>
                <w:sz w:val="24"/>
              </w:rPr>
              <w:t>Yapılan</w:t>
            </w:r>
            <w:proofErr w:type="spellEnd"/>
            <w:r w:rsidRPr="001B42FB">
              <w:rPr>
                <w:b/>
                <w:sz w:val="24"/>
              </w:rPr>
              <w:t xml:space="preserve"> </w:t>
            </w:r>
            <w:proofErr w:type="spellStart"/>
            <w:r w:rsidRPr="001B42FB">
              <w:rPr>
                <w:b/>
                <w:sz w:val="24"/>
              </w:rPr>
              <w:t>Senato’nun</w:t>
            </w:r>
            <w:proofErr w:type="spellEnd"/>
          </w:p>
        </w:tc>
      </w:tr>
      <w:tr w:rsidR="001B42FB" w:rsidRPr="001B42FB" w:rsidTr="00587220">
        <w:trPr>
          <w:trHeight w:val="273"/>
        </w:trPr>
        <w:tc>
          <w:tcPr>
            <w:tcW w:w="4338" w:type="dxa"/>
            <w:tcBorders>
              <w:top w:val="nil"/>
              <w:bottom w:val="single" w:sz="4" w:space="0" w:color="000000"/>
              <w:right w:val="nil"/>
            </w:tcBorders>
          </w:tcPr>
          <w:p w:rsidR="00E6230C" w:rsidRPr="001B42FB" w:rsidRDefault="00E6230C" w:rsidP="00587220">
            <w:pPr>
              <w:pStyle w:val="TableParagraph"/>
              <w:ind w:left="1820" w:right="1814"/>
              <w:rPr>
                <w:b/>
                <w:sz w:val="24"/>
              </w:rPr>
            </w:pPr>
            <w:proofErr w:type="spellStart"/>
            <w:r w:rsidRPr="001B42FB">
              <w:rPr>
                <w:b/>
                <w:sz w:val="24"/>
              </w:rPr>
              <w:t>Tarihi</w:t>
            </w:r>
            <w:proofErr w:type="spellEnd"/>
          </w:p>
        </w:tc>
        <w:tc>
          <w:tcPr>
            <w:tcW w:w="4251" w:type="dxa"/>
            <w:tcBorders>
              <w:top w:val="nil"/>
              <w:left w:val="nil"/>
              <w:bottom w:val="single" w:sz="4" w:space="0" w:color="000000"/>
            </w:tcBorders>
          </w:tcPr>
          <w:p w:rsidR="00E6230C" w:rsidRPr="001B42FB" w:rsidRDefault="00E6230C" w:rsidP="00587220">
            <w:pPr>
              <w:pStyle w:val="TableParagraph"/>
              <w:ind w:right="1530"/>
              <w:rPr>
                <w:b/>
                <w:sz w:val="24"/>
              </w:rPr>
            </w:pPr>
            <w:proofErr w:type="spellStart"/>
            <w:r w:rsidRPr="001B42FB">
              <w:rPr>
                <w:b/>
                <w:sz w:val="24"/>
              </w:rPr>
              <w:t>Sayısı</w:t>
            </w:r>
            <w:proofErr w:type="spellEnd"/>
          </w:p>
        </w:tc>
      </w:tr>
      <w:tr w:rsidR="00E6230C" w:rsidRPr="001B42FB" w:rsidTr="00587220">
        <w:trPr>
          <w:trHeight w:val="450"/>
        </w:trPr>
        <w:tc>
          <w:tcPr>
            <w:tcW w:w="4338" w:type="dxa"/>
            <w:tcBorders>
              <w:top w:val="single" w:sz="4" w:space="0" w:color="000000"/>
              <w:right w:val="single" w:sz="4" w:space="0" w:color="000000"/>
            </w:tcBorders>
          </w:tcPr>
          <w:p w:rsidR="00E6230C" w:rsidRPr="001B42FB" w:rsidRDefault="00E6230C" w:rsidP="00587220">
            <w:pPr>
              <w:pStyle w:val="TableParagraph"/>
              <w:spacing w:line="268" w:lineRule="exact"/>
              <w:ind w:left="1599" w:right="1589"/>
              <w:rPr>
                <w:sz w:val="24"/>
              </w:rPr>
            </w:pPr>
            <w:r w:rsidRPr="001B42FB">
              <w:rPr>
                <w:sz w:val="24"/>
              </w:rPr>
              <w:t>13/07/2020</w:t>
            </w:r>
          </w:p>
        </w:tc>
        <w:tc>
          <w:tcPr>
            <w:tcW w:w="4251" w:type="dxa"/>
            <w:tcBorders>
              <w:top w:val="single" w:sz="4" w:space="0" w:color="000000"/>
              <w:left w:val="single" w:sz="4" w:space="0" w:color="000000"/>
              <w:bottom w:val="single" w:sz="4" w:space="0" w:color="000000"/>
              <w:right w:val="single" w:sz="4" w:space="0" w:color="000000"/>
            </w:tcBorders>
          </w:tcPr>
          <w:p w:rsidR="00E6230C" w:rsidRPr="001B42FB" w:rsidRDefault="00E6230C" w:rsidP="00587220">
            <w:pPr>
              <w:pStyle w:val="TableParagraph"/>
              <w:spacing w:line="268" w:lineRule="exact"/>
              <w:ind w:right="1538"/>
              <w:rPr>
                <w:sz w:val="24"/>
              </w:rPr>
            </w:pPr>
            <w:r w:rsidRPr="001B42FB">
              <w:rPr>
                <w:sz w:val="24"/>
              </w:rPr>
              <w:t>2020/15-09</w:t>
            </w:r>
          </w:p>
        </w:tc>
      </w:tr>
    </w:tbl>
    <w:p w:rsidR="00E6230C" w:rsidRPr="001B42FB" w:rsidRDefault="00E6230C" w:rsidP="00E6230C"/>
    <w:p w:rsidR="005C1D0F" w:rsidRPr="001B42FB" w:rsidRDefault="005C1D0F"/>
    <w:sectPr w:rsidR="005C1D0F" w:rsidRPr="001B42FB">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2CD"/>
    <w:multiLevelType w:val="hybridMultilevel"/>
    <w:tmpl w:val="E7C6556A"/>
    <w:lvl w:ilvl="0" w:tplc="25906590">
      <w:start w:val="2"/>
      <w:numFmt w:val="decimal"/>
      <w:lvlText w:val="(%1)"/>
      <w:lvlJc w:val="left"/>
      <w:pPr>
        <w:ind w:left="116" w:hanging="375"/>
        <w:jc w:val="left"/>
      </w:pPr>
      <w:rPr>
        <w:rFonts w:ascii="Times New Roman" w:eastAsia="Times New Roman" w:hAnsi="Times New Roman" w:cs="Times New Roman" w:hint="default"/>
        <w:b w:val="0"/>
        <w:bCs/>
        <w:spacing w:val="-26"/>
        <w:w w:val="99"/>
        <w:sz w:val="24"/>
        <w:szCs w:val="24"/>
        <w:lang w:val="tr-TR" w:eastAsia="en-US" w:bidi="ar-SA"/>
      </w:rPr>
    </w:lvl>
    <w:lvl w:ilvl="1" w:tplc="D76CF6CA">
      <w:numFmt w:val="bullet"/>
      <w:lvlText w:val="•"/>
      <w:lvlJc w:val="left"/>
      <w:pPr>
        <w:ind w:left="1038" w:hanging="375"/>
      </w:pPr>
      <w:rPr>
        <w:rFonts w:hint="default"/>
        <w:lang w:val="tr-TR" w:eastAsia="en-US" w:bidi="ar-SA"/>
      </w:rPr>
    </w:lvl>
    <w:lvl w:ilvl="2" w:tplc="335C9D90">
      <w:numFmt w:val="bullet"/>
      <w:lvlText w:val="•"/>
      <w:lvlJc w:val="left"/>
      <w:pPr>
        <w:ind w:left="1957" w:hanging="375"/>
      </w:pPr>
      <w:rPr>
        <w:rFonts w:hint="default"/>
        <w:lang w:val="tr-TR" w:eastAsia="en-US" w:bidi="ar-SA"/>
      </w:rPr>
    </w:lvl>
    <w:lvl w:ilvl="3" w:tplc="1FBA66F0">
      <w:numFmt w:val="bullet"/>
      <w:lvlText w:val="•"/>
      <w:lvlJc w:val="left"/>
      <w:pPr>
        <w:ind w:left="2875" w:hanging="375"/>
      </w:pPr>
      <w:rPr>
        <w:rFonts w:hint="default"/>
        <w:lang w:val="tr-TR" w:eastAsia="en-US" w:bidi="ar-SA"/>
      </w:rPr>
    </w:lvl>
    <w:lvl w:ilvl="4" w:tplc="6CBE2B06">
      <w:numFmt w:val="bullet"/>
      <w:lvlText w:val="•"/>
      <w:lvlJc w:val="left"/>
      <w:pPr>
        <w:ind w:left="3794" w:hanging="375"/>
      </w:pPr>
      <w:rPr>
        <w:rFonts w:hint="default"/>
        <w:lang w:val="tr-TR" w:eastAsia="en-US" w:bidi="ar-SA"/>
      </w:rPr>
    </w:lvl>
    <w:lvl w:ilvl="5" w:tplc="CE7608E2">
      <w:numFmt w:val="bullet"/>
      <w:lvlText w:val="•"/>
      <w:lvlJc w:val="left"/>
      <w:pPr>
        <w:ind w:left="4713" w:hanging="375"/>
      </w:pPr>
      <w:rPr>
        <w:rFonts w:hint="default"/>
        <w:lang w:val="tr-TR" w:eastAsia="en-US" w:bidi="ar-SA"/>
      </w:rPr>
    </w:lvl>
    <w:lvl w:ilvl="6" w:tplc="42845290">
      <w:numFmt w:val="bullet"/>
      <w:lvlText w:val="•"/>
      <w:lvlJc w:val="left"/>
      <w:pPr>
        <w:ind w:left="5631" w:hanging="375"/>
      </w:pPr>
      <w:rPr>
        <w:rFonts w:hint="default"/>
        <w:lang w:val="tr-TR" w:eastAsia="en-US" w:bidi="ar-SA"/>
      </w:rPr>
    </w:lvl>
    <w:lvl w:ilvl="7" w:tplc="CD7C8AF8">
      <w:numFmt w:val="bullet"/>
      <w:lvlText w:val="•"/>
      <w:lvlJc w:val="left"/>
      <w:pPr>
        <w:ind w:left="6550" w:hanging="375"/>
      </w:pPr>
      <w:rPr>
        <w:rFonts w:hint="default"/>
        <w:lang w:val="tr-TR" w:eastAsia="en-US" w:bidi="ar-SA"/>
      </w:rPr>
    </w:lvl>
    <w:lvl w:ilvl="8" w:tplc="F52C5F38">
      <w:numFmt w:val="bullet"/>
      <w:lvlText w:val="•"/>
      <w:lvlJc w:val="left"/>
      <w:pPr>
        <w:ind w:left="7469" w:hanging="375"/>
      </w:pPr>
      <w:rPr>
        <w:rFonts w:hint="default"/>
        <w:lang w:val="tr-TR" w:eastAsia="en-US" w:bidi="ar-SA"/>
      </w:rPr>
    </w:lvl>
  </w:abstractNum>
  <w:abstractNum w:abstractNumId="1">
    <w:nsid w:val="22C343E7"/>
    <w:multiLevelType w:val="hybridMultilevel"/>
    <w:tmpl w:val="9446BB96"/>
    <w:lvl w:ilvl="0" w:tplc="0238977E">
      <w:start w:val="2"/>
      <w:numFmt w:val="decimal"/>
      <w:lvlText w:val="(%1)"/>
      <w:lvlJc w:val="left"/>
      <w:pPr>
        <w:ind w:left="116" w:hanging="420"/>
        <w:jc w:val="left"/>
      </w:pPr>
      <w:rPr>
        <w:rFonts w:ascii="Times New Roman" w:eastAsia="Times New Roman" w:hAnsi="Times New Roman" w:cs="Times New Roman" w:hint="default"/>
        <w:spacing w:val="-8"/>
        <w:w w:val="99"/>
        <w:sz w:val="24"/>
        <w:szCs w:val="24"/>
        <w:lang w:val="tr-TR" w:eastAsia="en-US" w:bidi="ar-SA"/>
      </w:rPr>
    </w:lvl>
    <w:lvl w:ilvl="1" w:tplc="3720466C">
      <w:numFmt w:val="bullet"/>
      <w:lvlText w:val="•"/>
      <w:lvlJc w:val="left"/>
      <w:pPr>
        <w:ind w:left="1038" w:hanging="420"/>
      </w:pPr>
      <w:rPr>
        <w:rFonts w:hint="default"/>
        <w:lang w:val="tr-TR" w:eastAsia="en-US" w:bidi="ar-SA"/>
      </w:rPr>
    </w:lvl>
    <w:lvl w:ilvl="2" w:tplc="2FC26C72">
      <w:numFmt w:val="bullet"/>
      <w:lvlText w:val="•"/>
      <w:lvlJc w:val="left"/>
      <w:pPr>
        <w:ind w:left="1957" w:hanging="420"/>
      </w:pPr>
      <w:rPr>
        <w:rFonts w:hint="default"/>
        <w:lang w:val="tr-TR" w:eastAsia="en-US" w:bidi="ar-SA"/>
      </w:rPr>
    </w:lvl>
    <w:lvl w:ilvl="3" w:tplc="EDD491B8">
      <w:numFmt w:val="bullet"/>
      <w:lvlText w:val="•"/>
      <w:lvlJc w:val="left"/>
      <w:pPr>
        <w:ind w:left="2875" w:hanging="420"/>
      </w:pPr>
      <w:rPr>
        <w:rFonts w:hint="default"/>
        <w:lang w:val="tr-TR" w:eastAsia="en-US" w:bidi="ar-SA"/>
      </w:rPr>
    </w:lvl>
    <w:lvl w:ilvl="4" w:tplc="EB222C0C">
      <w:numFmt w:val="bullet"/>
      <w:lvlText w:val="•"/>
      <w:lvlJc w:val="left"/>
      <w:pPr>
        <w:ind w:left="3794" w:hanging="420"/>
      </w:pPr>
      <w:rPr>
        <w:rFonts w:hint="default"/>
        <w:lang w:val="tr-TR" w:eastAsia="en-US" w:bidi="ar-SA"/>
      </w:rPr>
    </w:lvl>
    <w:lvl w:ilvl="5" w:tplc="3E8AA536">
      <w:numFmt w:val="bullet"/>
      <w:lvlText w:val="•"/>
      <w:lvlJc w:val="left"/>
      <w:pPr>
        <w:ind w:left="4713" w:hanging="420"/>
      </w:pPr>
      <w:rPr>
        <w:rFonts w:hint="default"/>
        <w:lang w:val="tr-TR" w:eastAsia="en-US" w:bidi="ar-SA"/>
      </w:rPr>
    </w:lvl>
    <w:lvl w:ilvl="6" w:tplc="98AA4210">
      <w:numFmt w:val="bullet"/>
      <w:lvlText w:val="•"/>
      <w:lvlJc w:val="left"/>
      <w:pPr>
        <w:ind w:left="5631" w:hanging="420"/>
      </w:pPr>
      <w:rPr>
        <w:rFonts w:hint="default"/>
        <w:lang w:val="tr-TR" w:eastAsia="en-US" w:bidi="ar-SA"/>
      </w:rPr>
    </w:lvl>
    <w:lvl w:ilvl="7" w:tplc="B866C042">
      <w:numFmt w:val="bullet"/>
      <w:lvlText w:val="•"/>
      <w:lvlJc w:val="left"/>
      <w:pPr>
        <w:ind w:left="6550" w:hanging="420"/>
      </w:pPr>
      <w:rPr>
        <w:rFonts w:hint="default"/>
        <w:lang w:val="tr-TR" w:eastAsia="en-US" w:bidi="ar-SA"/>
      </w:rPr>
    </w:lvl>
    <w:lvl w:ilvl="8" w:tplc="5CE4F1C2">
      <w:numFmt w:val="bullet"/>
      <w:lvlText w:val="•"/>
      <w:lvlJc w:val="left"/>
      <w:pPr>
        <w:ind w:left="7469" w:hanging="42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0C"/>
    <w:rsid w:val="001B42FB"/>
    <w:rsid w:val="00222586"/>
    <w:rsid w:val="005C1D0F"/>
    <w:rsid w:val="008D7E51"/>
    <w:rsid w:val="00E62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30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6230C"/>
    <w:pPr>
      <w:spacing w:before="1"/>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E6230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6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6230C"/>
    <w:pPr>
      <w:ind w:left="116" w:firstLine="707"/>
      <w:jc w:val="both"/>
    </w:pPr>
    <w:rPr>
      <w:sz w:val="24"/>
      <w:szCs w:val="24"/>
    </w:rPr>
  </w:style>
  <w:style w:type="character" w:customStyle="1" w:styleId="GvdeMetniChar">
    <w:name w:val="Gövde Metni Char"/>
    <w:basedOn w:val="VarsaylanParagrafYazTipi"/>
    <w:link w:val="GvdeMetni"/>
    <w:uiPriority w:val="1"/>
    <w:rsid w:val="00E6230C"/>
    <w:rPr>
      <w:rFonts w:ascii="Times New Roman" w:eastAsia="Times New Roman" w:hAnsi="Times New Roman" w:cs="Times New Roman"/>
      <w:sz w:val="24"/>
      <w:szCs w:val="24"/>
    </w:rPr>
  </w:style>
  <w:style w:type="paragraph" w:styleId="ListeParagraf">
    <w:name w:val="List Paragraph"/>
    <w:basedOn w:val="Normal"/>
    <w:uiPriority w:val="1"/>
    <w:qFormat/>
    <w:rsid w:val="00E6230C"/>
    <w:pPr>
      <w:ind w:left="116" w:right="120" w:firstLine="707"/>
      <w:jc w:val="both"/>
    </w:pPr>
  </w:style>
  <w:style w:type="paragraph" w:customStyle="1" w:styleId="TableParagraph">
    <w:name w:val="Table Paragraph"/>
    <w:basedOn w:val="Normal"/>
    <w:uiPriority w:val="1"/>
    <w:qFormat/>
    <w:rsid w:val="00E6230C"/>
    <w:pPr>
      <w:spacing w:line="254" w:lineRule="exact"/>
      <w:ind w:left="1556"/>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30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6230C"/>
    <w:pPr>
      <w:spacing w:before="1"/>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E6230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6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6230C"/>
    <w:pPr>
      <w:ind w:left="116" w:firstLine="707"/>
      <w:jc w:val="both"/>
    </w:pPr>
    <w:rPr>
      <w:sz w:val="24"/>
      <w:szCs w:val="24"/>
    </w:rPr>
  </w:style>
  <w:style w:type="character" w:customStyle="1" w:styleId="GvdeMetniChar">
    <w:name w:val="Gövde Metni Char"/>
    <w:basedOn w:val="VarsaylanParagrafYazTipi"/>
    <w:link w:val="GvdeMetni"/>
    <w:uiPriority w:val="1"/>
    <w:rsid w:val="00E6230C"/>
    <w:rPr>
      <w:rFonts w:ascii="Times New Roman" w:eastAsia="Times New Roman" w:hAnsi="Times New Roman" w:cs="Times New Roman"/>
      <w:sz w:val="24"/>
      <w:szCs w:val="24"/>
    </w:rPr>
  </w:style>
  <w:style w:type="paragraph" w:styleId="ListeParagraf">
    <w:name w:val="List Paragraph"/>
    <w:basedOn w:val="Normal"/>
    <w:uiPriority w:val="1"/>
    <w:qFormat/>
    <w:rsid w:val="00E6230C"/>
    <w:pPr>
      <w:ind w:left="116" w:right="120" w:firstLine="707"/>
      <w:jc w:val="both"/>
    </w:pPr>
  </w:style>
  <w:style w:type="paragraph" w:customStyle="1" w:styleId="TableParagraph">
    <w:name w:val="Table Paragraph"/>
    <w:basedOn w:val="Normal"/>
    <w:uiPriority w:val="1"/>
    <w:qFormat/>
    <w:rsid w:val="00E6230C"/>
    <w:pPr>
      <w:spacing w:line="254" w:lineRule="exact"/>
      <w:ind w:left="155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tiğrek</dc:creator>
  <cp:lastModifiedBy>Kamuran Eroglu</cp:lastModifiedBy>
  <cp:revision>2</cp:revision>
  <dcterms:created xsi:type="dcterms:W3CDTF">2021-09-20T08:19:00Z</dcterms:created>
  <dcterms:modified xsi:type="dcterms:W3CDTF">2021-09-20T08:19:00Z</dcterms:modified>
</cp:coreProperties>
</file>